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BA0C2F"/>
          <w:spacing w:val="30"/>
          <w:sz w:val="30"/>
          <w:szCs w:val="30"/>
        </w:rPr>
        <w:t xml:space="preserve">MAPLE SHIELD BENEFITS</w:t>
      </w:r>
    </w:p>
    <w:p>
      <w:pPr>
        <w:pBdr>
          <w:bottom w:val="single" w:color="BA0C2F" w:sz="12" w:space="8"/>
        </w:pBdr>
        <w:spacing w:after="600"/>
      </w:pPr>
      <w:r>
        <w:rPr>
          <w:color w:val="838271"/>
          <w:sz w:val="20"/>
          <w:szCs w:val="20"/>
        </w:rPr>
        <w:t xml:space="preserve">Group Benefits  |  Claims Operations</w:t>
      </w:r>
    </w:p>
    <w:p>
      <w:pPr>
        <w:spacing w:after="60" w:before="200"/>
      </w:pPr>
      <w:r>
        <w:rPr>
          <w:b/>
          <w:bCs/>
          <w:color w:val="1A1A1A"/>
          <w:sz w:val="56"/>
          <w:szCs w:val="56"/>
        </w:rPr>
        <w:t xml:space="preserve">Wellness Spending Account</w:t>
      </w:r>
    </w:p>
    <w:p>
      <w:pPr>
        <w:spacing w:after="40"/>
      </w:pPr>
      <w:r>
        <w:rPr>
          <w:color w:val="444444"/>
          <w:sz w:val="40"/>
          <w:szCs w:val="40"/>
        </w:rPr>
        <w:t xml:space="preserve">Claims Adjudication Manual</w:t>
      </w:r>
    </w:p>
    <w:p>
      <w:pPr>
        <w:spacing w:after="0" w:before="360"/>
      </w:pPr>
      <w:r>
        <w:rPr>
          <w:i/>
          <w:iCs/>
          <w:color w:val="5B5B5B"/>
          <w:sz w:val="22"/>
          <w:szCs w:val="22"/>
        </w:rPr>
        <w:t xml:space="preserve">An operations reference for claims adjudicators, examiners, and review staff</w:t>
      </w:r>
    </w:p>
    <w:p>
      <w:pPr>
        <w:spacing w:after="0" w:before="40"/>
      </w:pPr>
      <w:r>
        <w:rPr>
          <w:color w:val="5B5B5B"/>
          <w:sz w:val="20"/>
          <w:szCs w:val="20"/>
        </w:rPr>
        <w:t xml:space="preserve">Covers WSA / Personal Spending Account / Lifestyle Spending Account products</w:t>
      </w:r>
    </w:p>
    <w:p>
      <w:pPr>
        <w:spacing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Document type</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Internal operations manual — claims adjudication</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Applies to</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Wellness Spending Account (WSA), Personal Spending Account (PSA), Lifestyle Spending Account (LSA)</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Audience</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Claims adjudicators, senior examiners, quality review, Special Investigations Unit (SIU)</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Version</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Edition 1.0 (illustrative)</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Effective date</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Current plan year</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Owner</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Director, Claims Operations — Spending Accounts</w:t>
            </w:r>
          </w:p>
        </w:tc>
      </w:tr>
      <w:tr>
        <w:tc>
          <w:tcPr>
            <w:tcW w:type="dxa" w:w="2600"/>
            <w:tcBorders>
              <w:top w:val="none"/>
              <w:left w:val="none"/>
              <w:bottom w:val="single" w:color="D8D2D3" w:sz="1"/>
              <w:right w:val="none"/>
            </w:tcBorders>
            <w:tcMar>
              <w:top w:type="dxa" w:w="60"/>
              <w:left w:type="dxa" w:w="0"/>
              <w:bottom w:type="dxa" w:w="60"/>
              <w:right w:type="dxa" w:w="120"/>
            </w:tcMar>
          </w:tcPr>
          <w:p>
            <w:r>
              <w:rPr>
                <w:b/>
                <w:bCs/>
                <w:color w:val="BA0C2F"/>
                <w:sz w:val="18"/>
                <w:szCs w:val="18"/>
              </w:rPr>
              <w:t xml:space="preserve">Classification</w:t>
            </w:r>
          </w:p>
        </w:tc>
        <w:tc>
          <w:tcPr>
            <w:tcW w:type="dxa" w:w="6760"/>
            <w:tcBorders>
              <w:top w:val="none"/>
              <w:left w:val="none"/>
              <w:bottom w:val="single" w:color="D8D2D3" w:sz="1"/>
              <w:right w:val="none"/>
            </w:tcBorders>
            <w:tcMar>
              <w:top w:type="dxa" w:w="60"/>
              <w:left w:type="dxa" w:w="0"/>
              <w:bottom w:type="dxa" w:w="60"/>
              <w:right w:type="dxa" w:w="0"/>
            </w:tcMar>
          </w:tcPr>
          <w:p>
            <w:r>
              <w:rPr>
                <w:color w:val="5B5B5B"/>
                <w:sz w:val="18"/>
                <w:szCs w:val="18"/>
              </w:rPr>
              <w:t xml:space="preserve">Confidential — internal use only</w:t>
            </w:r>
          </w:p>
        </w:tc>
      </w:tr>
    </w:tbl>
    <w:p>
      <w:pPr>
        <w:pageBreakBefore/>
      </w:pPr>
    </w:p>
    <w:p>
      <w:pPr>
        <w:pStyle w:val="Heading1"/>
        <w:pBdr>
          <w:bottom w:val="single" w:color="BA0C2F" w:sz="6" w:space="4"/>
        </w:pBdr>
        <w:spacing w:after="160" w:before="360"/>
      </w:pPr>
      <w:bookmarkStart w:name="notice" w:id="1"/>
      <w:r>
        <w:t xml:space="preserve">Important Notice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Illustrative document</w:t>
            </w:r>
          </w:p>
          <w:p>
            <w:pPr>
              <w:spacing w:after="40" w:line="264"/>
            </w:pPr>
            <w:r>
              <w:rPr>
                <w:color w:val="3A3A3A"/>
                <w:sz w:val="19"/>
                <w:szCs w:val="19"/>
              </w:rPr>
              <w:t xml:space="preserve">This manual is a mock / illustrative operations document prepared for training and reference. “Maple Shield Benefits” is a fictional insurer. All dollar limits, claim codes, sub-limits, turnaround targets, and internal team names are invented examples and are clearly marked as illustrative where they appear.</w:t>
            </w:r>
          </w:p>
          <w:p>
            <w:pPr>
              <w:spacing w:after="40" w:line="264"/>
            </w:pPr>
            <w:r>
              <w:rPr>
                <w:color w:val="3A3A3A"/>
                <w:sz w:val="19"/>
                <w:szCs w:val="19"/>
              </w:rPr>
              <w:t xml:space="preserve">The structure, taxability rules, statutory references, category logic, documentation standards, fraud controls, and privacy obligations are grounded in real Canadian group-benefits practice. Before adjudicating any live claim, the governing group policy, benefit booklet, and plan-sponsor instructions take precedence over anything in this manual.</w:t>
            </w:r>
          </w:p>
          <w:p>
            <w:pPr>
              <w:spacing w:after="40" w:line="264"/>
            </w:pPr>
            <w:r>
              <w:rPr>
                <w:color w:val="3A3A3A"/>
                <w:sz w:val="19"/>
                <w:szCs w:val="19"/>
              </w:rPr>
              <w:t xml:space="preserve">Tax positions described here are general and simplified. Confirm plan-specific tax treatment, Quebec reporting, and CPP/EI/QPIP handling with the Tax and Payroll team. Canada Revenue Agency and Revenu Québec guidance can change without notice.</w:t>
            </w:r>
          </w:p>
        </w:tc>
      </w:tr>
    </w:tbl>
    <w:p>
      <w:pPr>
        <w:pageBreakBefore/>
      </w:pPr>
    </w:p>
    <w:p>
      <w:pPr>
        <w:pStyle w:val="Heading1"/>
        <w:pBdr>
          <w:bottom w:val="single" w:color="BA0C2F" w:sz="6" w:space="4"/>
        </w:pBdr>
        <w:spacing w:after="1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BA0C2F" w:sz="6" w:space="4"/>
        </w:pBdr>
        <w:spacing w:after="160" w:before="360"/>
      </w:pPr>
      <w:r>
        <w:t xml:space="preserve">1. Purpose and How to Use This Manual</w:t>
      </w:r>
    </w:p>
    <w:p>
      <w:pPr>
        <w:spacing w:after="140" w:line="276"/>
      </w:pPr>
      <w:r>
        <w:rPr>
          <w:color w:val="5B5B5B"/>
          <w:sz w:val="21"/>
          <w:szCs w:val="21"/>
        </w:rPr>
        <w:t xml:space="preserve">This manual gives claims adjudicators a single, end-to-end reference for assessing Wellness Spending Account (WSA) claims. It defines what a WSA is, how it differs from a Health Care Spending Account, why every approved WSA claim is taxable, which expenses are eligible, what documentation is required, and how to approve, deny, pend, escalate, and handle appeals.</w:t>
      </w:r>
    </w:p>
    <w:p>
      <w:pPr>
        <w:pStyle w:val="Heading3"/>
        <w:spacing w:after="100" w:before="180"/>
      </w:pPr>
      <w:r>
        <w:t xml:space="preserve">How adjudicators should use it</w:t>
      </w:r>
    </w:p>
    <w:p>
      <w:pPr>
        <w:pStyle w:val="ListParagraph"/>
        <w:numPr>
          <w:ilvl w:val="0"/>
          <w:numId w:val="2"/>
        </w:numPr>
        <w:spacing w:after="80" w:line="268"/>
      </w:pPr>
      <w:r>
        <w:rPr>
          <w:b/>
          <w:bCs/>
          <w:color w:val="222222"/>
          <w:sz w:val="21"/>
          <w:szCs w:val="21"/>
        </w:rPr>
        <w:t xml:space="preserve">Adjudicate to the three-gate test. </w:t>
      </w:r>
      <w:r>
        <w:rPr>
          <w:color w:val="5B5B5B"/>
          <w:sz w:val="21"/>
          <w:szCs w:val="21"/>
        </w:rPr>
        <w:t xml:space="preserve">Sections 5 through 8 are the operational core. Every claim is assessed against three gates in order: eligible person, eligible expense incurred in-period, and valid proof of payment. If all three pass and a balance is available, approve and flag for payroll tax.</w:t>
      </w:r>
    </w:p>
    <w:p>
      <w:pPr>
        <w:pStyle w:val="ListParagraph"/>
        <w:numPr>
          <w:ilvl w:val="0"/>
          <w:numId w:val="2"/>
        </w:numPr>
        <w:spacing w:after="80" w:line="268"/>
      </w:pPr>
      <w:r>
        <w:rPr>
          <w:b/>
          <w:bCs/>
          <w:color w:val="222222"/>
          <w:sz w:val="21"/>
          <w:szCs w:val="21"/>
        </w:rPr>
        <w:t xml:space="preserve">Check the routing question first. </w:t>
      </w:r>
      <w:r>
        <w:rPr>
          <w:color w:val="5B5B5B"/>
          <w:sz w:val="21"/>
          <w:szCs w:val="21"/>
        </w:rPr>
        <w:t xml:space="preserve">Before paying anything from the WSA, confirm the expense is not a CRA medical expense. If it is, it belongs in the Health Care Spending Account (HCSA) or extended health, not the WSA. See Section 7.</w:t>
      </w:r>
    </w:p>
    <w:p>
      <w:pPr>
        <w:pStyle w:val="ListParagraph"/>
        <w:numPr>
          <w:ilvl w:val="0"/>
          <w:numId w:val="2"/>
        </w:numPr>
        <w:spacing w:after="80" w:line="268"/>
      </w:pPr>
      <w:r>
        <w:rPr>
          <w:b/>
          <w:bCs/>
          <w:color w:val="222222"/>
          <w:sz w:val="21"/>
          <w:szCs w:val="21"/>
        </w:rPr>
        <w:t xml:space="preserve">Use the reference lists, do not memorise them. </w:t>
      </w:r>
      <w:r>
        <w:rPr>
          <w:color w:val="5B5B5B"/>
          <w:sz w:val="21"/>
          <w:szCs w:val="21"/>
        </w:rPr>
        <w:t xml:space="preserve">Sections 9 and 10 list eligible and excluded expenses by category. Treat them as the standard list; the specific plan may adopt only a subset.</w:t>
      </w:r>
    </w:p>
    <w:p>
      <w:pPr>
        <w:pStyle w:val="ListParagraph"/>
        <w:numPr>
          <w:ilvl w:val="0"/>
          <w:numId w:val="2"/>
        </w:numPr>
        <w:spacing w:after="80" w:line="268"/>
      </w:pPr>
      <w:r>
        <w:rPr>
          <w:b/>
          <w:bCs/>
          <w:color w:val="222222"/>
          <w:sz w:val="21"/>
          <w:szCs w:val="21"/>
        </w:rPr>
        <w:t xml:space="preserve">Escalate when in doubt. </w:t>
      </w:r>
      <w:r>
        <w:rPr>
          <w:color w:val="5B5B5B"/>
          <w:sz w:val="21"/>
          <w:szCs w:val="21"/>
        </w:rPr>
        <w:t xml:space="preserve">Tax characterization questions, ambiguous eligibility, and any fraud indicator go to the paths in Sections 13 and 14. When uncertain, pend rather than guess.</w:t>
      </w:r>
    </w:p>
    <w:p>
      <w:pPr>
        <w:pStyle w:val="Heading3"/>
        <w:spacing w:after="100" w:before="180"/>
      </w:pPr>
      <w:r>
        <w:t xml:space="preserve">Terminology note</w:t>
      </w:r>
    </w:p>
    <w:p>
      <w:pPr>
        <w:spacing w:after="140" w:line="276"/>
      </w:pPr>
      <w:r>
        <w:rPr>
          <w:color w:val="5B5B5B"/>
          <w:sz w:val="21"/>
          <w:szCs w:val="21"/>
        </w:rPr>
        <w:t xml:space="preserve">Plan sponsors brand these accounts in many ways. Throughout this manual, “WSA” covers all of the following, which are functionally the same product for adjudication purposes:</w:t>
      </w:r>
    </w:p>
    <w:p>
      <w:pPr>
        <w:pStyle w:val="ListParagraph"/>
        <w:numPr>
          <w:ilvl w:val="0"/>
          <w:numId w:val="2"/>
        </w:numPr>
        <w:spacing w:after="80" w:line="268"/>
      </w:pPr>
      <w:r>
        <w:rPr>
          <w:color w:val="5B5B5B"/>
          <w:sz w:val="21"/>
          <w:szCs w:val="21"/>
        </w:rPr>
        <w:t xml:space="preserve">Wellness Spending Account (WSA)</w:t>
      </w:r>
    </w:p>
    <w:p>
      <w:pPr>
        <w:pStyle w:val="ListParagraph"/>
        <w:numPr>
          <w:ilvl w:val="0"/>
          <w:numId w:val="2"/>
        </w:numPr>
        <w:spacing w:after="80" w:line="268"/>
      </w:pPr>
      <w:r>
        <w:rPr>
          <w:color w:val="5B5B5B"/>
          <w:sz w:val="21"/>
          <w:szCs w:val="21"/>
        </w:rPr>
        <w:t xml:space="preserve">Personal Spending Account (PSA)</w:t>
      </w:r>
    </w:p>
    <w:p>
      <w:pPr>
        <w:pStyle w:val="ListParagraph"/>
        <w:numPr>
          <w:ilvl w:val="0"/>
          <w:numId w:val="2"/>
        </w:numPr>
        <w:spacing w:after="80" w:line="268"/>
      </w:pPr>
      <w:r>
        <w:rPr>
          <w:color w:val="5B5B5B"/>
          <w:sz w:val="21"/>
          <w:szCs w:val="21"/>
        </w:rPr>
        <w:t xml:space="preserve">Lifestyle Spending Account (LSA)</w:t>
      </w:r>
    </w:p>
    <w:p>
      <w:pPr>
        <w:pStyle w:val="ListParagraph"/>
        <w:numPr>
          <w:ilvl w:val="0"/>
          <w:numId w:val="2"/>
        </w:numPr>
        <w:spacing w:after="80" w:line="268"/>
      </w:pPr>
      <w:r>
        <w:rPr>
          <w:color w:val="5B5B5B"/>
          <w:sz w:val="21"/>
          <w:szCs w:val="21"/>
        </w:rPr>
        <w:t xml:space="preserve">Taxable Spending Account (TSA), Healthy Living Account, or a custom employer name</w:t>
      </w:r>
    </w:p>
    <w:p>
      <w:pPr>
        <w:pStyle w:val="Heading1"/>
        <w:pBdr>
          <w:bottom w:val="single" w:color="BA0C2F" w:sz="6" w:space="4"/>
        </w:pBdr>
        <w:spacing w:after="160" w:before="360"/>
      </w:pPr>
      <w:r>
        <w:t xml:space="preserve">2. What a Wellness Spending Account Is</w:t>
      </w:r>
    </w:p>
    <w:p>
      <w:pPr>
        <w:spacing w:after="140" w:line="276"/>
      </w:pPr>
      <w:r>
        <w:rPr>
          <w:color w:val="5B5B5B"/>
          <w:sz w:val="21"/>
          <w:szCs w:val="21"/>
        </w:rPr>
        <w:t xml:space="preserve">A WSA is an employer-funded allowance that reimburses a broad range of wellness and lifestyle expenses which fall outside Canada Revenue Agency (CRA) approved medical expenses. The employer decides how much to allocate and which categories to cover. Because the covered expenses are not medical expenses under the Income Tax Act, the account cannot be a tax-free health plan, so reimbursements are a taxable employment benefit. This single fact drives most of the adjudication differences described later.</w:t>
      </w:r>
    </w:p>
    <w:p>
      <w:pPr>
        <w:pStyle w:val="Heading2"/>
        <w:spacing w:after="120" w:before="240"/>
      </w:pPr>
      <w:r>
        <w:t xml:space="preserve">2.1 The notional account model</w:t>
      </w:r>
    </w:p>
    <w:p>
      <w:pPr>
        <w:spacing w:after="140" w:line="276"/>
      </w:pPr>
      <w:r>
        <w:rPr>
          <w:color w:val="5B5B5B"/>
          <w:sz w:val="21"/>
          <w:szCs w:val="21"/>
        </w:rPr>
        <w:t xml:space="preserve">A WSA is notional. No money sits in a member's account. The employer holds a credit balance on paper and funds reimbursements as eligible claims are paid. The adjudicator's job is to confirm a claim is eligible and within the available credit balance, then release it for payment and payroll tax treatment.</w:t>
      </w:r>
    </w:p>
    <w:p>
      <w:pPr>
        <w:pStyle w:val="Heading2"/>
        <w:spacing w:after="120" w:before="240"/>
      </w:pPr>
      <w:r>
        <w:t xml:space="preserve">2.2 WSA versus HCSA versus traditional benefits</w:t>
      </w:r>
    </w:p>
    <w:p>
      <w:pPr>
        <w:spacing w:after="140" w:line="276"/>
      </w:pPr>
      <w:r>
        <w:rPr>
          <w:color w:val="5B5B5B"/>
          <w:sz w:val="21"/>
          <w:szCs w:val="21"/>
        </w:rPr>
        <w:t xml:space="preserve">Adjudicators must be able to place any incoming expense in the correct bucket. The table below is the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6"/>
        <w:gridCol w:w="2486"/>
        <w:gridCol w:w="2488"/>
      </w:tblGrid>
      <w:tr>
        <w:trPr>
          <w:tblHeader/>
        </w:trPr>
        <w:tc>
          <w:tcPr>
            <w:tcW w:type="dxa" w:w="19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Feature</w:t>
            </w:r>
          </w:p>
        </w:tc>
        <w:tc>
          <w:tcPr>
            <w:tcW w:type="dxa" w:w="2486"/>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Traditional health / dental</w:t>
            </w:r>
          </w:p>
        </w:tc>
        <w:tc>
          <w:tcPr>
            <w:tcW w:type="dxa" w:w="2486"/>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Health Care Spending Account (HCSA)</w:t>
            </w:r>
          </w:p>
        </w:tc>
        <w:tc>
          <w:tcPr>
            <w:tcW w:type="dxa" w:w="2488"/>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Wellness Spending Account (WSA)</w:t>
            </w:r>
          </w:p>
        </w:tc>
      </w:tr>
      <w:tr>
        <w:tc>
          <w:tcPr>
            <w:tcW w:type="dxa" w:w="19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What it covers</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Defined insured benefits: drugs, dental, paramedical</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CRA-eligible medical expenses (Income Tax Act s. 118.2(2) list)</w:t>
            </w:r>
          </w:p>
        </w:tc>
        <w:tc>
          <w:tcPr>
            <w:tcW w:type="dxa" w:w="2488"/>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Non-medical wellness and lifestyle expenses, employer-defined</w:t>
            </w:r>
          </w:p>
        </w:tc>
      </w:tr>
      <w:tr>
        <w:tc>
          <w:tcPr>
            <w:tcW w:type="dxa" w:w="19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Structure</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Insured benefit with coinsurance and maximums</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Notional account, structured as a Private Health Services Plan</w:t>
            </w:r>
          </w:p>
        </w:tc>
        <w:tc>
          <w:tcPr>
            <w:tcW w:type="dxa" w:w="2488"/>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Notional account, taxable allowance</w:t>
            </w:r>
          </w:p>
        </w:tc>
      </w:tr>
      <w:tr>
        <w:tc>
          <w:tcPr>
            <w:tcW w:type="dxa" w:w="19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Tax treatment</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Premiums and benefits per plan and jurisdiction</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Tax-free federally (PHSP); taxable in Quebec</w:t>
            </w:r>
          </w:p>
        </w:tc>
        <w:tc>
          <w:tcPr>
            <w:tcW w:type="dxa" w:w="2488"/>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Taxable employment benefit everywhere</w:t>
            </w:r>
          </w:p>
        </w:tc>
      </w:tr>
      <w:tr>
        <w:tc>
          <w:tcPr>
            <w:tcW w:type="dxa" w:w="19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Who sets eligibility</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Insurer plan design</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CRA medical-expense rules</w:t>
            </w:r>
          </w:p>
        </w:tc>
        <w:tc>
          <w:tcPr>
            <w:tcW w:type="dxa" w:w="2488"/>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Plan sponsor (employer)</w:t>
            </w:r>
          </w:p>
        </w:tc>
      </w:tr>
      <w:tr>
        <w:tc>
          <w:tcPr>
            <w:tcW w:type="dxa" w:w="19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Dependents</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Per contract</w:t>
            </w:r>
          </w:p>
        </w:tc>
        <w:tc>
          <w:tcPr>
            <w:tcW w:type="dxa" w:w="2486"/>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Per CRA dependent definition</w:t>
            </w:r>
          </w:p>
        </w:tc>
        <w:tc>
          <w:tcPr>
            <w:tcW w:type="dxa" w:w="2488"/>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Only if the plan allows</w:t>
            </w:r>
          </w:p>
        </w:tc>
      </w:tr>
      <w:tr>
        <w:tc>
          <w:tcPr>
            <w:tcW w:type="dxa" w:w="19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Typical use</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Day-to-day health and dental</w:t>
            </w:r>
          </w:p>
        </w:tc>
        <w:tc>
          <w:tcPr>
            <w:tcW w:type="dxa" w:w="2486"/>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Top up coinsurance and deductibles, cover the gap</w:t>
            </w:r>
          </w:p>
        </w:tc>
        <w:tc>
          <w:tcPr>
            <w:tcW w:type="dxa" w:w="2488"/>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Gym, fitness gear, courses, family and lifestyle</w:t>
            </w:r>
          </w:p>
        </w:tc>
      </w:tr>
    </w:tbl>
    <w:p>
      <w:pPr>
        <w:pStyle w:val="Heading2"/>
        <w:spacing w:after="120" w:before="240"/>
      </w:pPr>
      <w:r>
        <w:t xml:space="preserve">2.3 Typical allocation amounts</w:t>
      </w:r>
    </w:p>
    <w:p>
      <w:pPr>
        <w:spacing w:after="140" w:line="276"/>
      </w:pPr>
      <w:r>
        <w:rPr>
          <w:color w:val="5B5B5B"/>
          <w:sz w:val="21"/>
          <w:szCs w:val="21"/>
        </w:rPr>
        <w:t xml:space="preserve">Allocations commonly range from </w:t>
      </w:r>
      <w:r>
        <w:rPr>
          <w:b/>
          <w:bCs/>
          <w:color w:val="5B5B5B"/>
          <w:sz w:val="21"/>
          <w:szCs w:val="21"/>
        </w:rPr>
        <w:t xml:space="preserve">$250 to $2,000 per employee per year</w:t>
      </w:r>
      <w:r>
        <w:rPr>
          <w:color w:val="5B5B5B"/>
          <w:sz w:val="21"/>
          <w:szCs w:val="21"/>
        </w:rPr>
        <w:t xml:space="preserve">. Most employers land between $500 and $1,500, and small businesses commonly set the allowance between $500 and $1,000. Some plans tier the amount by employee class, for example a higher allocation for managers than for staff. Whether dependents may use the allocation is a plan-by-plan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4F6" w:sz="1"/>
              <w:left w:val="single" w:color="4A6E8A" w:sz="18"/>
              <w:bottom w:val="single" w:color="F1F4F6" w:sz="1"/>
              <w:right w:val="single" w:color="F1F4F6" w:sz="1"/>
            </w:tcBorders>
            <w:shd w:fill="F1F4F6" w:val="clear"/>
            <w:tcMar>
              <w:top w:type="dxa" w:w="110"/>
              <w:left w:type="dxa" w:w="160"/>
              <w:bottom w:type="dxa" w:w="110"/>
              <w:right w:type="dxa" w:w="160"/>
            </w:tcMar>
          </w:tcPr>
          <w:p>
            <w:pPr>
              <w:spacing w:after="60"/>
            </w:pPr>
            <w:r>
              <w:rPr>
                <w:b/>
                <w:bCs/>
                <w:color w:val="4A6E8A"/>
                <w:sz w:val="20"/>
                <w:szCs w:val="20"/>
              </w:rPr>
              <w:t xml:space="preserve">Illustrative plan parameters — Maple Shield standard WSA</w:t>
            </w:r>
          </w:p>
          <w:p>
            <w:pPr>
              <w:spacing w:after="40" w:line="264"/>
            </w:pPr>
            <w:r>
              <w:rPr>
                <w:b/>
                <w:bCs/>
                <w:color w:val="222222"/>
                <w:sz w:val="19"/>
                <w:szCs w:val="19"/>
              </w:rPr>
              <w:t xml:space="preserve">Annual allocation: </w:t>
            </w:r>
            <w:r>
              <w:rPr>
                <w:color w:val="3A3A3A"/>
                <w:sz w:val="19"/>
                <w:szCs w:val="19"/>
              </w:rPr>
              <w:t xml:space="preserve">$750 per employee (single), $1,000 (family) — illustrative</w:t>
            </w:r>
          </w:p>
          <w:p>
            <w:pPr>
              <w:spacing w:after="40" w:line="264"/>
            </w:pPr>
            <w:r>
              <w:rPr>
                <w:b/>
                <w:bCs/>
                <w:color w:val="222222"/>
                <w:sz w:val="19"/>
                <w:szCs w:val="19"/>
              </w:rPr>
              <w:t xml:space="preserve">Reimbursement rate: </w:t>
            </w:r>
            <w:r>
              <w:rPr>
                <w:color w:val="3A3A3A"/>
                <w:sz w:val="19"/>
                <w:szCs w:val="19"/>
              </w:rPr>
              <w:t xml:space="preserve">100% of eligible expense to the available balance</w:t>
            </w:r>
          </w:p>
          <w:p>
            <w:pPr>
              <w:spacing w:after="40" w:line="264"/>
            </w:pPr>
            <w:r>
              <w:rPr>
                <w:b/>
                <w:bCs/>
                <w:color w:val="222222"/>
                <w:sz w:val="19"/>
                <w:szCs w:val="19"/>
              </w:rPr>
              <w:t xml:space="preserve">Carryover: </w:t>
            </w:r>
            <w:r>
              <w:rPr>
                <w:color w:val="3A3A3A"/>
                <w:sz w:val="19"/>
                <w:szCs w:val="19"/>
              </w:rPr>
              <w:t xml:space="preserve">Unused credits carry forward one benefit year, then forfeit (if elected by sponsor)</w:t>
            </w:r>
          </w:p>
          <w:p>
            <w:pPr>
              <w:spacing w:after="40" w:line="264"/>
            </w:pPr>
            <w:r>
              <w:rPr>
                <w:b/>
                <w:bCs/>
                <w:color w:val="222222"/>
                <w:sz w:val="19"/>
                <w:szCs w:val="19"/>
              </w:rPr>
              <w:t xml:space="preserve">Runout: </w:t>
            </w:r>
            <w:r>
              <w:rPr>
                <w:color w:val="3A3A3A"/>
                <w:sz w:val="19"/>
                <w:szCs w:val="19"/>
              </w:rPr>
              <w:t xml:space="preserve">90 days after plan-year end to submit prior-year expenses</w:t>
            </w:r>
          </w:p>
        </w:tc>
      </w:tr>
    </w:tbl>
    <w:p>
      <w:pPr>
        <w:pStyle w:val="Heading2"/>
        <w:spacing w:after="120" w:before="240"/>
      </w:pPr>
      <w:r>
        <w:t xml:space="preserve">2.4 Funding, carryover, and top-ups</w:t>
      </w:r>
    </w:p>
    <w:p>
      <w:pPr>
        <w:pStyle w:val="ListParagraph"/>
        <w:numPr>
          <w:ilvl w:val="0"/>
          <w:numId w:val="2"/>
        </w:numPr>
        <w:spacing w:after="80" w:line="268"/>
      </w:pPr>
      <w:r>
        <w:rPr>
          <w:b/>
          <w:bCs/>
          <w:color w:val="222222"/>
          <w:sz w:val="21"/>
          <w:szCs w:val="21"/>
        </w:rPr>
        <w:t xml:space="preserve">Use-it-or-lose-it is the common default. </w:t>
      </w:r>
      <w:r>
        <w:rPr>
          <w:color w:val="5B5B5B"/>
          <w:sz w:val="21"/>
          <w:szCs w:val="21"/>
        </w:rPr>
        <w:t xml:space="preserve">Many WSAs forfeit unused credits at year-end.</w:t>
      </w:r>
    </w:p>
    <w:p>
      <w:pPr>
        <w:pStyle w:val="ListParagraph"/>
        <w:numPr>
          <w:ilvl w:val="0"/>
          <w:numId w:val="2"/>
        </w:numPr>
        <w:spacing w:after="80" w:line="268"/>
      </w:pPr>
      <w:r>
        <w:rPr>
          <w:b/>
          <w:bCs/>
          <w:color w:val="222222"/>
          <w:sz w:val="21"/>
          <w:szCs w:val="21"/>
        </w:rPr>
        <w:t xml:space="preserve">Carryover, where offered, is usually one year. </w:t>
      </w:r>
      <w:r>
        <w:rPr>
          <w:color w:val="5B5B5B"/>
          <w:sz w:val="21"/>
          <w:szCs w:val="21"/>
        </w:rPr>
        <w:t xml:space="preserve">Unused credits roll forward a single benefit year and forfeit after that if still unused.</w:t>
      </w:r>
    </w:p>
    <w:p>
      <w:pPr>
        <w:pStyle w:val="ListParagraph"/>
        <w:numPr>
          <w:ilvl w:val="0"/>
          <w:numId w:val="2"/>
        </w:numPr>
        <w:spacing w:after="80" w:line="268"/>
      </w:pPr>
      <w:r>
        <w:rPr>
          <w:b/>
          <w:bCs/>
          <w:color w:val="222222"/>
          <w:sz w:val="21"/>
          <w:szCs w:val="21"/>
        </w:rPr>
        <w:t xml:space="preserve">Expenses must be incurred in the benefit year. </w:t>
      </w:r>
      <w:r>
        <w:rPr>
          <w:color w:val="5B5B5B"/>
          <w:sz w:val="21"/>
          <w:szCs w:val="21"/>
        </w:rPr>
        <w:t xml:space="preserve">An expense generally cannot be held and claimed against a future year's allocation.</w:t>
      </w:r>
    </w:p>
    <w:p>
      <w:pPr>
        <w:pStyle w:val="ListParagraph"/>
        <w:numPr>
          <w:ilvl w:val="0"/>
          <w:numId w:val="2"/>
        </w:numPr>
        <w:spacing w:after="80" w:line="268"/>
      </w:pPr>
      <w:r>
        <w:rPr>
          <w:b/>
          <w:bCs/>
          <w:color w:val="222222"/>
          <w:sz w:val="21"/>
          <w:szCs w:val="21"/>
        </w:rPr>
        <w:t xml:space="preserve">Top-ups are a sponsor decision. </w:t>
      </w:r>
      <w:r>
        <w:rPr>
          <w:color w:val="5B5B5B"/>
          <w:sz w:val="21"/>
          <w:szCs w:val="21"/>
        </w:rPr>
        <w:t xml:space="preserve">Some plans permit mid-year increases on a life event or status change; confirm against plan rules.</w:t>
      </w:r>
    </w:p>
    <w:p>
      <w:pPr>
        <w:pStyle w:val="Heading1"/>
        <w:pBdr>
          <w:bottom w:val="single" w:color="BA0C2F" w:sz="6" w:space="4"/>
        </w:pBdr>
        <w:spacing w:after="160" w:before="360"/>
      </w:pPr>
      <w:r>
        <w:t xml:space="preserve">3. Eligibility: Persons, Waiting Periods, and Status Changes</w:t>
      </w:r>
    </w:p>
    <w:p>
      <w:pPr>
        <w:spacing w:after="140" w:line="276"/>
      </w:pPr>
      <w:r>
        <w:rPr>
          <w:color w:val="5B5B5B"/>
          <w:sz w:val="21"/>
          <w:szCs w:val="21"/>
        </w:rPr>
        <w:t xml:space="preserve">Gate one of every adjudication is confirming the claim belongs to an eligible person, incurred while coverage was active. Eligibility rules are set by the plan sponsor and recorded in the benefit booklet.</w:t>
      </w:r>
    </w:p>
    <w:p>
      <w:pPr>
        <w:pStyle w:val="Heading2"/>
        <w:spacing w:after="120" w:before="240"/>
      </w:pPr>
      <w:r>
        <w:t xml:space="preserve">3.1 Who is eligible</w:t>
      </w:r>
    </w:p>
    <w:p>
      <w:pPr>
        <w:pStyle w:val="ListParagraph"/>
        <w:numPr>
          <w:ilvl w:val="0"/>
          <w:numId w:val="2"/>
        </w:numPr>
        <w:spacing w:after="80" w:line="268"/>
      </w:pPr>
      <w:r>
        <w:rPr>
          <w:b/>
          <w:bCs/>
          <w:color w:val="222222"/>
          <w:sz w:val="21"/>
          <w:szCs w:val="21"/>
        </w:rPr>
        <w:t xml:space="preserve">Active employees past the waiting period. </w:t>
      </w:r>
      <w:r>
        <w:rPr>
          <w:color w:val="5B5B5B"/>
          <w:sz w:val="21"/>
          <w:szCs w:val="21"/>
        </w:rPr>
        <w:t xml:space="preserve">The member must be actively employed and have satisfied any waiting period before the expense date.</w:t>
      </w:r>
    </w:p>
    <w:p>
      <w:pPr>
        <w:pStyle w:val="ListParagraph"/>
        <w:numPr>
          <w:ilvl w:val="0"/>
          <w:numId w:val="2"/>
        </w:numPr>
        <w:spacing w:after="80" w:line="268"/>
      </w:pPr>
      <w:r>
        <w:rPr>
          <w:b/>
          <w:bCs/>
          <w:color w:val="222222"/>
          <w:sz w:val="21"/>
          <w:szCs w:val="21"/>
        </w:rPr>
        <w:t xml:space="preserve">Dependents only where the plan allows. </w:t>
      </w:r>
      <w:r>
        <w:rPr>
          <w:color w:val="5B5B5B"/>
          <w:sz w:val="21"/>
          <w:szCs w:val="21"/>
        </w:rPr>
        <w:t xml:space="preserve">Some plans extend the WSA to a spouse and dependent children; others restrict it to the employee. Do not reimburse a dependent's expense unless the plan permits dependent claims.</w:t>
      </w:r>
    </w:p>
    <w:p>
      <w:pPr>
        <w:pStyle w:val="ListParagraph"/>
        <w:numPr>
          <w:ilvl w:val="0"/>
          <w:numId w:val="2"/>
        </w:numPr>
        <w:spacing w:after="80" w:line="268"/>
      </w:pPr>
      <w:r>
        <w:rPr>
          <w:b/>
          <w:bCs/>
          <w:color w:val="222222"/>
          <w:sz w:val="21"/>
          <w:szCs w:val="21"/>
        </w:rPr>
        <w:t xml:space="preserve">Coverage must be active on the date the expense was incurred. </w:t>
      </w:r>
      <w:r>
        <w:rPr>
          <w:color w:val="5B5B5B"/>
          <w:sz w:val="21"/>
          <w:szCs w:val="21"/>
        </w:rPr>
        <w:t xml:space="preserve">Eligibility is tested against the expense date, not the submission date.</w:t>
      </w:r>
    </w:p>
    <w:p>
      <w:pPr>
        <w:pStyle w:val="Heading2"/>
        <w:spacing w:after="120" w:before="240"/>
      </w:pPr>
      <w:r>
        <w:t xml:space="preserve">3.2 Waiting periods and proration</w:t>
      </w:r>
    </w:p>
    <w:p>
      <w:pPr>
        <w:spacing w:after="140" w:line="276"/>
      </w:pPr>
      <w:r>
        <w:rPr>
          <w:color w:val="5B5B5B"/>
          <w:sz w:val="21"/>
          <w:szCs w:val="21"/>
        </w:rPr>
        <w:t xml:space="preserve">The waiting period is usually tied to when the member becomes eligible for the core health plan. Proration practice varies:</w:t>
      </w:r>
    </w:p>
    <w:p>
      <w:pPr>
        <w:pStyle w:val="ListParagraph"/>
        <w:numPr>
          <w:ilvl w:val="0"/>
          <w:numId w:val="2"/>
        </w:numPr>
        <w:spacing w:after="80" w:line="268"/>
      </w:pPr>
      <w:r>
        <w:rPr>
          <w:color w:val="5B5B5B"/>
          <w:sz w:val="21"/>
          <w:szCs w:val="21"/>
        </w:rPr>
        <w:t xml:space="preserve">Some plans grant the full annual amount on enrolment with no proration.</w:t>
      </w:r>
    </w:p>
    <w:p>
      <w:pPr>
        <w:pStyle w:val="ListParagraph"/>
        <w:numPr>
          <w:ilvl w:val="0"/>
          <w:numId w:val="2"/>
        </w:numPr>
        <w:spacing w:after="80" w:line="268"/>
      </w:pPr>
      <w:r>
        <w:rPr>
          <w:color w:val="5B5B5B"/>
          <w:sz w:val="21"/>
          <w:szCs w:val="21"/>
        </w:rPr>
        <w:t xml:space="preserve">Others prorate the allocation by hire date, or grant a fresh amount on a qualifying life event or status change.</w:t>
      </w:r>
    </w:p>
    <w:p>
      <w:pPr>
        <w:spacing w:after="140" w:line="276"/>
      </w:pPr>
      <w:r>
        <w:rPr>
          <w:color w:val="5B5B5B"/>
          <w:sz w:val="21"/>
          <w:szCs w:val="21"/>
        </w:rPr>
        <w:t xml:space="preserve">Confirm the plan's proration rule before assessing a first-year member's available balance.</w:t>
      </w:r>
    </w:p>
    <w:p>
      <w:pPr>
        <w:pStyle w:val="Heading2"/>
        <w:spacing w:after="120" w:before="240"/>
      </w:pPr>
      <w:r>
        <w:t xml:space="preserve">3.3 Termination, transfer, and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Event</w:t>
            </w:r>
          </w:p>
        </w:tc>
        <w:tc>
          <w:tcPr>
            <w:tcW w:type="dxa" w:w="69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Effect on WSA claims</w:t>
            </w:r>
          </w:p>
        </w:tc>
      </w:tr>
      <w:tr>
        <w:tc>
          <w:tcPr>
            <w:tcW w:type="dxa" w:w="24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Termination</w:t>
            </w:r>
          </w:p>
        </w:tc>
        <w:tc>
          <w:tcPr>
            <w:tcW w:type="dxa" w:w="69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Unspent credits are forfeited. Only expenses incurred on or before the coverage end date are reimbursable. Watch for a surge of claims immediately before termination (see fraud indicators).</w:t>
            </w:r>
          </w:p>
        </w:tc>
      </w:tr>
      <w:tr>
        <w:tc>
          <w:tcPr>
            <w:tcW w:type="dxa" w:w="24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Transfer to a non-WSA group</w:t>
            </w:r>
          </w:p>
        </w:tc>
        <w:tc>
          <w:tcPr>
            <w:tcW w:type="dxa" w:w="69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Treated like termination of the WSA. Reimburse only pre-transfer expenses.</w:t>
            </w:r>
          </w:p>
        </w:tc>
      </w:tr>
      <w:tr>
        <w:tc>
          <w:tcPr>
            <w:tcW w:type="dxa" w:w="24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Paid or unpaid leave</w:t>
            </w:r>
          </w:p>
        </w:tc>
        <w:tc>
          <w:tcPr>
            <w:tcW w:type="dxa" w:w="69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Whether coverage continues depends on the sponsor's rules. Confirm leave status before approving expenses dated during a leave.</w:t>
            </w:r>
          </w:p>
        </w:tc>
      </w:tr>
      <w:tr>
        <w:tc>
          <w:tcPr>
            <w:tcW w:type="dxa" w:w="24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Rehire</w:t>
            </w:r>
          </w:p>
        </w:tc>
        <w:tc>
          <w:tcPr>
            <w:tcW w:type="dxa" w:w="69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Treated as a new enrolment unless the plan provides otherwise; apply the current waiting-period and proration rules.</w:t>
            </w:r>
          </w:p>
        </w:tc>
      </w:tr>
    </w:tbl>
    <w:p>
      <w:pPr>
        <w:pStyle w:val="Heading1"/>
        <w:pBdr>
          <w:bottom w:val="single" w:color="BA0C2F" w:sz="6" w:space="4"/>
        </w:pBdr>
        <w:spacing w:after="160" w:before="360"/>
      </w:pPr>
      <w:r>
        <w:t xml:space="preserve">4. Taxability: The Most Important Fact in WSA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C" w:sz="1"/>
              <w:left w:val="single" w:color="BA0C2F" w:sz="18"/>
              <w:bottom w:val="single" w:color="FBECEC" w:sz="1"/>
              <w:right w:val="single" w:color="FBECEC" w:sz="1"/>
            </w:tcBorders>
            <w:shd w:fill="FBECEC" w:val="clear"/>
            <w:tcMar>
              <w:top w:type="dxa" w:w="110"/>
              <w:left w:type="dxa" w:w="160"/>
              <w:bottom w:type="dxa" w:w="110"/>
              <w:right w:type="dxa" w:w="160"/>
            </w:tcMar>
          </w:tcPr>
          <w:p>
            <w:pPr>
              <w:spacing w:after="60"/>
            </w:pPr>
            <w:r>
              <w:rPr>
                <w:b/>
                <w:bCs/>
                <w:color w:val="BA0C2F"/>
                <w:sz w:val="20"/>
                <w:szCs w:val="20"/>
              </w:rPr>
              <w:t xml:space="preserve">Core rule</w:t>
            </w:r>
          </w:p>
          <w:p>
            <w:pPr>
              <w:spacing w:after="40" w:line="264"/>
            </w:pPr>
            <w:r>
              <w:rPr>
                <w:b/>
                <w:bCs/>
                <w:color w:val="7A0A1F"/>
                <w:sz w:val="20"/>
                <w:szCs w:val="20"/>
              </w:rPr>
              <w:t xml:space="preserve">Every approved WSA reimbursement is a taxable employment benefit. </w:t>
            </w:r>
            <w:r>
              <w:rPr>
                <w:color w:val="3A3A3A"/>
                <w:sz w:val="20"/>
                <w:szCs w:val="20"/>
              </w:rPr>
              <w:t xml:space="preserve">It is reported on the employee's T4 (employment income in box 14, and again under code 40 in the Other Information area). In Quebec it is also reported on the RL-1 (box A). Adjudicators must never describe or imply that a WSA reimbursement is tax-free.</w:t>
            </w:r>
          </w:p>
        </w:tc>
      </w:tr>
    </w:tbl>
    <w:p>
      <w:pPr>
        <w:pStyle w:val="Heading2"/>
        <w:spacing w:after="120" w:before="240"/>
      </w:pPr>
      <w:r>
        <w:t xml:space="preserve">4.1 Why a WSA is taxable but an HCSA is not</w:t>
      </w:r>
    </w:p>
    <w:p>
      <w:pPr>
        <w:spacing w:after="140" w:line="276"/>
      </w:pPr>
      <w:r>
        <w:rPr>
          <w:color w:val="5B5B5B"/>
          <w:sz w:val="21"/>
          <w:szCs w:val="21"/>
        </w:rPr>
        <w:t xml:space="preserve">An HCSA is tax-free federally because it qualifies as a Private Health Services Plan (PHSP) under the Income Tax Act, and employer contributions to a PHSP are excluded from employment income. A WSA covers expenses that are not eligible medical expenses, so it fails the PHSP test and the exclusion does not apply. The reimbursement is therefore caught by the general taxable-benefit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Concept</w:t>
            </w:r>
          </w:p>
        </w:tc>
        <w:tc>
          <w:tcPr>
            <w:tcW w:type="dxa" w:w="30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Statutory anchor</w:t>
            </w:r>
          </w:p>
        </w:tc>
        <w:tc>
          <w:tcPr>
            <w:tcW w:type="dxa" w:w="40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Plain-language meaning</w:t>
            </w:r>
          </w:p>
        </w:tc>
      </w:tr>
      <w:tr>
        <w:tc>
          <w:tcPr>
            <w:tcW w:type="dxa" w:w="2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Taxable benefit (general rule)</w:t>
            </w:r>
          </w:p>
        </w:tc>
        <w:tc>
          <w:tcPr>
            <w:tcW w:type="dxa" w:w="30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Income Tax Act paragraph 6(1)(a)</w:t>
            </w:r>
          </w:p>
        </w:tc>
        <w:tc>
          <w:tcPr>
            <w:tcW w:type="dxa" w:w="40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Most things an employer pays for an employee are taxable income to the employee.</w:t>
            </w:r>
          </w:p>
        </w:tc>
      </w:tr>
      <w:tr>
        <w:tc>
          <w:tcPr>
            <w:tcW w:type="dxa" w:w="2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PHSP exclusion (the HCSA carve-out)</w:t>
            </w:r>
          </w:p>
        </w:tc>
        <w:tc>
          <w:tcPr>
            <w:tcW w:type="dxa" w:w="30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Subparagraph 6(1)(a)(i); PHSP defined in subsection 248(1)</w:t>
            </w:r>
          </w:p>
        </w:tc>
        <w:tc>
          <w:tcPr>
            <w:tcW w:type="dxa" w:w="40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Benefits paid under a private health services plan are carved out of taxable income.</w:t>
            </w:r>
          </w:p>
        </w:tc>
      </w:tr>
      <w:tr>
        <w:tc>
          <w:tcPr>
            <w:tcW w:type="dxa" w:w="2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What an HCSA may cover</w:t>
            </w:r>
          </w:p>
        </w:tc>
        <w:tc>
          <w:tcPr>
            <w:tcW w:type="dxa" w:w="30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Subsection 118.2(2) (the medical expense list)</w:t>
            </w:r>
          </w:p>
        </w:tc>
        <w:tc>
          <w:tcPr>
            <w:tcW w:type="dxa" w:w="40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Only expenses eligible for the Medical Expense Tax Credit qualify; 90%+ of benefits must meet this test.</w:t>
            </w:r>
          </w:p>
        </w:tc>
      </w:tr>
      <w:tr>
        <w:tc>
          <w:tcPr>
            <w:tcW w:type="dxa" w:w="2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Why a WSA fails the carve-out</w:t>
            </w:r>
          </w:p>
        </w:tc>
        <w:tc>
          <w:tcPr>
            <w:tcW w:type="dxa" w:w="30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Fails 118.2(2) / PHSP test</w:t>
            </w:r>
          </w:p>
        </w:tc>
        <w:tc>
          <w:tcPr>
            <w:tcW w:type="dxa" w:w="40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Wellness and lifestyle expenses are not medical expenses, so the plan is not a PHSP and reimbursements stay taxable.</w:t>
            </w:r>
          </w:p>
        </w:tc>
      </w:tr>
    </w:tbl>
    <w:p>
      <w:pPr>
        <w:pStyle w:val="Heading2"/>
        <w:spacing w:after="120" w:before="240"/>
      </w:pPr>
      <w:r>
        <w:t xml:space="preserve">4.2 What this means at the point of adjudication</w:t>
      </w:r>
    </w:p>
    <w:p>
      <w:pPr>
        <w:pStyle w:val="ListParagraph"/>
        <w:numPr>
          <w:ilvl w:val="0"/>
          <w:numId w:val="2"/>
        </w:numPr>
        <w:spacing w:after="80" w:line="268"/>
      </w:pPr>
      <w:r>
        <w:rPr>
          <w:b/>
          <w:bCs/>
          <w:color w:val="222222"/>
          <w:sz w:val="21"/>
          <w:szCs w:val="21"/>
        </w:rPr>
        <w:t xml:space="preserve">Flag every approval for payroll. </w:t>
      </w:r>
      <w:r>
        <w:rPr>
          <w:color w:val="5B5B5B"/>
          <w:sz w:val="21"/>
          <w:szCs w:val="21"/>
        </w:rPr>
        <w:t xml:space="preserve">An approved WSA claim must carry a tax flag so payroll can apply source deductions (income tax, CPP, EI; Quebec adds QPP and QPIP).</w:t>
      </w:r>
    </w:p>
    <w:p>
      <w:pPr>
        <w:pStyle w:val="ListParagraph"/>
        <w:numPr>
          <w:ilvl w:val="0"/>
          <w:numId w:val="2"/>
        </w:numPr>
        <w:spacing w:after="80" w:line="268"/>
      </w:pPr>
      <w:r>
        <w:rPr>
          <w:b/>
          <w:bCs/>
          <w:color w:val="222222"/>
          <w:sz w:val="21"/>
          <w:szCs w:val="21"/>
        </w:rPr>
        <w:t xml:space="preserve">Tax applies to amounts claimed, not balances. </w:t>
      </w:r>
      <w:r>
        <w:rPr>
          <w:color w:val="5B5B5B"/>
          <w:sz w:val="21"/>
          <w:szCs w:val="21"/>
        </w:rPr>
        <w:t xml:space="preserve">The member is taxed only on what is actually reimbursed, never on an unused balance.</w:t>
      </w:r>
    </w:p>
    <w:p>
      <w:pPr>
        <w:pStyle w:val="ListParagraph"/>
        <w:numPr>
          <w:ilvl w:val="0"/>
          <w:numId w:val="2"/>
        </w:numPr>
        <w:spacing w:after="80" w:line="268"/>
      </w:pPr>
      <w:r>
        <w:rPr>
          <w:b/>
          <w:bCs/>
          <w:color w:val="222222"/>
          <w:sz w:val="21"/>
          <w:szCs w:val="21"/>
        </w:rPr>
        <w:t xml:space="preserve">Tax is normally not withheld at claim time. </w:t>
      </w:r>
      <w:r>
        <w:rPr>
          <w:color w:val="5B5B5B"/>
          <w:sz w:val="21"/>
          <w:szCs w:val="21"/>
        </w:rPr>
        <w:t xml:space="preserve">Withholding happens when the claim is reported to payroll, often on a monthly cycle. Do not attempt to net tax inside the claim.</w:t>
      </w:r>
    </w:p>
    <w:p>
      <w:pPr>
        <w:pStyle w:val="ListParagraph"/>
        <w:numPr>
          <w:ilvl w:val="0"/>
          <w:numId w:val="2"/>
        </w:numPr>
        <w:spacing w:after="80" w:line="268"/>
      </w:pPr>
      <w:r>
        <w:rPr>
          <w:b/>
          <w:bCs/>
          <w:color w:val="222222"/>
          <w:sz w:val="21"/>
          <w:szCs w:val="21"/>
        </w:rPr>
        <w:t xml:space="preserve">Never pay a medical expense from the WSA. </w:t>
      </w:r>
      <w:r>
        <w:rPr>
          <w:color w:val="5B5B5B"/>
          <w:sz w:val="21"/>
          <w:szCs w:val="21"/>
        </w:rPr>
        <w:t xml:space="preserve">Doing so needlessly creates a taxable benefit and can misstate the member's tax. Route medical expenses to the HCSA.</w:t>
      </w:r>
    </w:p>
    <w:p>
      <w:pPr>
        <w:pStyle w:val="Heading2"/>
        <w:spacing w:after="120" w:before="240"/>
      </w:pPr>
      <w:r>
        <w:t xml:space="preserve">4.3 The net-value point members raise</w:t>
      </w:r>
    </w:p>
    <w:p>
      <w:pPr>
        <w:spacing w:after="140" w:line="276"/>
      </w:pPr>
      <w:r>
        <w:rPr>
          <w:color w:val="5B5B5B"/>
          <w:sz w:val="21"/>
          <w:szCs w:val="21"/>
        </w:rPr>
        <w:t xml:space="preserve">Members sometimes ask why their WSA “is worth less” than an HCSA. The standard explanation: </w:t>
      </w:r>
      <w:r>
        <w:rPr>
          <w:b/>
          <w:bCs/>
          <w:color w:val="5B5B5B"/>
          <w:sz w:val="21"/>
          <w:szCs w:val="21"/>
        </w:rPr>
        <w:t xml:space="preserve">$1 of WSA equals $1 of eligible expense, but that dollar is taxable.</w:t>
      </w:r>
      <w:r>
        <w:rPr>
          <w:color w:val="5B5B5B"/>
          <w:sz w:val="21"/>
          <w:szCs w:val="21"/>
        </w:rPr>
        <w:t xml:space="preserve"> At a 30% marginal rate, a $1,000 WSA delivers roughly $700 of net benefit. Adjudicators can state this factually but should direct detailed tax questions to the employer or a tax advisor.</w:t>
      </w:r>
    </w:p>
    <w:p>
      <w:pPr>
        <w:pStyle w:val="Heading2"/>
        <w:spacing w:after="120" w:before="240"/>
      </w:pPr>
      <w:r>
        <w:t xml:space="preserve">4.4 Quebec note</w:t>
      </w:r>
    </w:p>
    <w:p>
      <w:pPr>
        <w:spacing w:after="140" w:line="276"/>
      </w:pPr>
      <w:r>
        <w:rPr>
          <w:color w:val="5B5B5B"/>
          <w:sz w:val="21"/>
          <w:szCs w:val="21"/>
        </w:rPr>
        <w:t xml:space="preserve">In Quebec, both HCSA and WSA reimbursements are taxable provincially. The HCSA is federally tax-free but is a Quebec provincial taxable benefit. For Quebec members, expect RL-1 reporting (box A, with related amounts in other boxes where applicable) in addition to the federal T4. Route Quebec-specific questions to Tax and Payroll.</w:t>
      </w:r>
    </w:p>
    <w:p>
      <w:pPr>
        <w:pStyle w:val="Heading1"/>
        <w:pBdr>
          <w:bottom w:val="single" w:color="BA0C2F" w:sz="6" w:space="4"/>
        </w:pBdr>
        <w:spacing w:after="160" w:before="360"/>
      </w:pPr>
      <w:r>
        <w:t xml:space="preserve">5. The Three-Gate Adjudication Test</w:t>
      </w:r>
    </w:p>
    <w:p>
      <w:pPr>
        <w:spacing w:after="140" w:line="276"/>
      </w:pPr>
      <w:r>
        <w:rPr>
          <w:color w:val="5B5B5B"/>
          <w:sz w:val="21"/>
          <w:szCs w:val="21"/>
        </w:rPr>
        <w:t xml:space="preserve">Assess every WSA claim against three gates, in order. A claim must clear all three, and have an available balance, to be approved. Failing any gate stops the assessment at that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260"/>
        <w:gridCol w:w="2400"/>
        <w:gridCol w:w="1950"/>
      </w:tblGrid>
      <w:tr>
        <w:trPr>
          <w:tblHeader/>
        </w:trPr>
        <w:tc>
          <w:tcPr>
            <w:tcW w:type="dxa" w:w="175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Gate</w:t>
            </w:r>
          </w:p>
        </w:tc>
        <w:tc>
          <w:tcPr>
            <w:tcW w:type="dxa" w:w="32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Question</w:t>
            </w:r>
          </w:p>
        </w:tc>
        <w:tc>
          <w:tcPr>
            <w:tcW w:type="dxa" w:w="24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Pass condition</w:t>
            </w:r>
          </w:p>
        </w:tc>
        <w:tc>
          <w:tcPr>
            <w:tcW w:type="dxa" w:w="195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If it fails</w:t>
            </w:r>
          </w:p>
        </w:tc>
      </w:tr>
      <w:tr>
        <w:tc>
          <w:tcPr>
            <w:tcW w:type="dxa" w:w="175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1. Eligible person</w:t>
            </w:r>
          </w:p>
        </w:tc>
        <w:tc>
          <w:tcPr>
            <w:tcW w:type="dxa" w:w="3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Is the claimant an eligible person with active coverage on the expense date?</w:t>
            </w:r>
          </w:p>
        </w:tc>
        <w:tc>
          <w:tcPr>
            <w:tcW w:type="dxa" w:w="24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Active employee past waiting period; dependent only if plan allows</w:t>
            </w:r>
          </w:p>
        </w:tc>
        <w:tc>
          <w:tcPr>
            <w:tcW w:type="dxa" w:w="195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Deny — ineligible person (code D-PERS)</w:t>
            </w:r>
          </w:p>
        </w:tc>
      </w:tr>
      <w:tr>
        <w:tc>
          <w:tcPr>
            <w:tcW w:type="dxa" w:w="175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2. Eligible expense</w:t>
            </w:r>
          </w:p>
        </w:tc>
        <w:tc>
          <w:tcPr>
            <w:tcW w:type="dxa" w:w="3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Is the expense on the plan's WSA category list and incurred in the benefit period? And is it NOT a CRA medical expense?</w:t>
            </w:r>
          </w:p>
        </w:tc>
        <w:tc>
          <w:tcPr>
            <w:tcW w:type="dxa" w:w="24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On the eligible list, in-period, and not HCSA-eligible</w:t>
            </w:r>
          </w:p>
        </w:tc>
        <w:tc>
          <w:tcPr>
            <w:tcW w:type="dxa" w:w="195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Deny or route — ineligible expense (D-EXP) or route to HCSA (R-HCSA)</w:t>
            </w:r>
          </w:p>
        </w:tc>
      </w:tr>
      <w:tr>
        <w:tc>
          <w:tcPr>
            <w:tcW w:type="dxa" w:w="175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3. Valid proof</w:t>
            </w:r>
          </w:p>
        </w:tc>
        <w:tc>
          <w:tcPr>
            <w:tcW w:type="dxa" w:w="3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Is there an itemized receipt plus proof of payment in the claimant's name?</w:t>
            </w:r>
          </w:p>
        </w:tc>
        <w:tc>
          <w:tcPr>
            <w:tcW w:type="dxa" w:w="24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Itemized, dated, paid in full, claimant named</w:t>
            </w:r>
          </w:p>
        </w:tc>
        <w:tc>
          <w:tcPr>
            <w:tcW w:type="dxa" w:w="195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Pend for documentation (P-DOC) or deny if unobtainable</w:t>
            </w:r>
          </w:p>
        </w:tc>
      </w:tr>
    </w:tbl>
    <w:p>
      <w:pPr>
        <w:pStyle w:val="Heading3"/>
        <w:spacing w:after="100" w:before="180"/>
      </w:pPr>
      <w:r>
        <w:t xml:space="preserve">Final balance check</w:t>
      </w:r>
    </w:p>
    <w:p>
      <w:pPr>
        <w:spacing w:after="140" w:line="276"/>
      </w:pPr>
      <w:r>
        <w:rPr>
          <w:color w:val="5B5B5B"/>
          <w:sz w:val="21"/>
          <w:szCs w:val="21"/>
        </w:rPr>
        <w:t xml:space="preserve">After all three gates pass, confirm the available credit balance covers the claim. If the balance is partial, reimburse to the available balance and deny the remainder with a clear explanation; if zero, deny for exhausted balance (code D-BAL).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The routing question sits inside Gate 2</w:t>
            </w:r>
          </w:p>
          <w:p>
            <w:pPr>
              <w:spacing w:after="40" w:line="264"/>
            </w:pPr>
            <w:r>
              <w:rPr>
                <w:color w:val="3A3A3A"/>
                <w:sz w:val="19"/>
                <w:szCs w:val="19"/>
              </w:rPr>
              <w:t xml:space="preserve">Before approving any expense from the WSA, ask: could this be a CRA medical expense? Physiotherapy, prescription drugs, dental work, prescription eyewear, and similar items are medical expenses. They belong in extended health, coordination of benefits, then the HCSA — not the WSA. Paying them from the WSA creates an unnecessary taxable benefit. When unsure whether an item is medical, pend and check Section 7.</w:t>
            </w:r>
          </w:p>
        </w:tc>
      </w:tr>
    </w:tbl>
    <w:p>
      <w:pPr>
        <w:pStyle w:val="Heading1"/>
        <w:pBdr>
          <w:bottom w:val="single" w:color="BA0C2F" w:sz="6" w:space="4"/>
        </w:pBdr>
        <w:spacing w:after="160" w:before="360"/>
      </w:pPr>
      <w:r>
        <w:t xml:space="preserve">6. Step-by-Step Adjudication Workflow</w:t>
      </w:r>
    </w:p>
    <w:p>
      <w:pPr>
        <w:spacing w:after="140" w:line="276"/>
      </w:pPr>
      <w:r>
        <w:rPr>
          <w:color w:val="5B5B5B"/>
          <w:sz w:val="21"/>
          <w:szCs w:val="21"/>
        </w:rPr>
        <w:t xml:space="preserve">The workflow below operationalises the three-gate test for a single claim.</w:t>
      </w:r>
    </w:p>
    <w:p>
      <w:pPr>
        <w:pStyle w:val="ListParagraph"/>
        <w:numPr>
          <w:ilvl w:val="0"/>
          <w:numId w:val="3"/>
        </w:numPr>
        <w:spacing w:after="80" w:line="268"/>
      </w:pPr>
      <w:r>
        <w:rPr>
          <w:b/>
          <w:bCs/>
          <w:color w:val="222222"/>
          <w:sz w:val="21"/>
          <w:szCs w:val="21"/>
        </w:rPr>
        <w:t xml:space="preserve">Confirm identity and coverage. </w:t>
      </w:r>
      <w:r>
        <w:rPr>
          <w:color w:val="5B5B5B"/>
          <w:sz w:val="21"/>
          <w:szCs w:val="21"/>
        </w:rPr>
        <w:t xml:space="preserve">Match the claim to an active member record. Verify coverage was active on the expense date and the waiting period was satisfied.</w:t>
      </w:r>
    </w:p>
    <w:p>
      <w:pPr>
        <w:pStyle w:val="ListParagraph"/>
        <w:numPr>
          <w:ilvl w:val="0"/>
          <w:numId w:val="3"/>
        </w:numPr>
        <w:spacing w:after="80" w:line="268"/>
      </w:pPr>
      <w:r>
        <w:rPr>
          <w:b/>
          <w:bCs/>
          <w:color w:val="222222"/>
          <w:sz w:val="21"/>
          <w:szCs w:val="21"/>
        </w:rPr>
        <w:t xml:space="preserve">Identify the expense and category. </w:t>
      </w:r>
      <w:r>
        <w:rPr>
          <w:color w:val="5B5B5B"/>
          <w:sz w:val="21"/>
          <w:szCs w:val="21"/>
        </w:rPr>
        <w:t xml:space="preserve">Determine what was purchased and map it to a WSA category code (Section 12). If it does not map to any eligible category, it is likely ineligible.</w:t>
      </w:r>
    </w:p>
    <w:p>
      <w:pPr>
        <w:pStyle w:val="ListParagraph"/>
        <w:numPr>
          <w:ilvl w:val="0"/>
          <w:numId w:val="3"/>
        </w:numPr>
        <w:spacing w:after="80" w:line="268"/>
      </w:pPr>
      <w:r>
        <w:rPr>
          <w:b/>
          <w:bCs/>
          <w:color w:val="222222"/>
          <w:sz w:val="21"/>
          <w:szCs w:val="21"/>
        </w:rPr>
        <w:t xml:space="preserve">Apply the routing question. </w:t>
      </w:r>
      <w:r>
        <w:rPr>
          <w:color w:val="5B5B5B"/>
          <w:sz w:val="21"/>
          <w:szCs w:val="21"/>
        </w:rPr>
        <w:t xml:space="preserve">Decide whether the expense is a CRA medical expense. If yes, route to the HCSA or extended health and stop.</w:t>
      </w:r>
    </w:p>
    <w:p>
      <w:pPr>
        <w:pStyle w:val="ListParagraph"/>
        <w:numPr>
          <w:ilvl w:val="0"/>
          <w:numId w:val="3"/>
        </w:numPr>
        <w:spacing w:after="80" w:line="268"/>
      </w:pPr>
      <w:r>
        <w:rPr>
          <w:b/>
          <w:bCs/>
          <w:color w:val="222222"/>
          <w:sz w:val="21"/>
          <w:szCs w:val="21"/>
        </w:rPr>
        <w:t xml:space="preserve">Confirm the expense is in-period. </w:t>
      </w:r>
      <w:r>
        <w:rPr>
          <w:color w:val="5B5B5B"/>
          <w:sz w:val="21"/>
          <w:szCs w:val="21"/>
        </w:rPr>
        <w:t xml:space="preserve">Use the date the expense was incurred (service or purchase date) to confirm it falls in the open benefit year or runout window.</w:t>
      </w:r>
    </w:p>
    <w:p>
      <w:pPr>
        <w:pStyle w:val="ListParagraph"/>
        <w:numPr>
          <w:ilvl w:val="0"/>
          <w:numId w:val="3"/>
        </w:numPr>
        <w:spacing w:after="80" w:line="268"/>
      </w:pPr>
      <w:r>
        <w:rPr>
          <w:b/>
          <w:bCs/>
          <w:color w:val="222222"/>
          <w:sz w:val="21"/>
          <w:szCs w:val="21"/>
        </w:rPr>
        <w:t xml:space="preserve">Validate documentation. </w:t>
      </w:r>
      <w:r>
        <w:rPr>
          <w:color w:val="5B5B5B"/>
          <w:sz w:val="21"/>
          <w:szCs w:val="21"/>
        </w:rPr>
        <w:t xml:space="preserve">Check for an itemized receipt and proof of payment in the claimant's name. Apply the receipt-validity rules in Section 8.</w:t>
      </w:r>
    </w:p>
    <w:p>
      <w:pPr>
        <w:pStyle w:val="ListParagraph"/>
        <w:numPr>
          <w:ilvl w:val="0"/>
          <w:numId w:val="3"/>
        </w:numPr>
        <w:spacing w:after="80" w:line="268"/>
      </w:pPr>
      <w:r>
        <w:rPr>
          <w:b/>
          <w:bCs/>
          <w:color w:val="222222"/>
          <w:sz w:val="21"/>
          <w:szCs w:val="21"/>
        </w:rPr>
        <w:t xml:space="preserve">Screen for duplicates and red flags. </w:t>
      </w:r>
      <w:r>
        <w:rPr>
          <w:color w:val="5B5B5B"/>
          <w:sz w:val="21"/>
          <w:szCs w:val="21"/>
        </w:rPr>
        <w:t xml:space="preserve">Match vendor, date, and amount across the WSA, HCSA, and health claims and across plan years. Apply the fraud indicators in Section 13.</w:t>
      </w:r>
    </w:p>
    <w:p>
      <w:pPr>
        <w:pStyle w:val="ListParagraph"/>
        <w:numPr>
          <w:ilvl w:val="0"/>
          <w:numId w:val="3"/>
        </w:numPr>
        <w:spacing w:after="80" w:line="268"/>
      </w:pPr>
      <w:r>
        <w:rPr>
          <w:b/>
          <w:bCs/>
          <w:color w:val="222222"/>
          <w:sz w:val="21"/>
          <w:szCs w:val="21"/>
        </w:rPr>
        <w:t xml:space="preserve">Check the balance. </w:t>
      </w:r>
      <w:r>
        <w:rPr>
          <w:color w:val="5B5B5B"/>
          <w:sz w:val="21"/>
          <w:szCs w:val="21"/>
        </w:rPr>
        <w:t xml:space="preserve">Confirm available credits cover the claim, in full or in part.</w:t>
      </w:r>
    </w:p>
    <w:p>
      <w:pPr>
        <w:pStyle w:val="ListParagraph"/>
        <w:numPr>
          <w:ilvl w:val="0"/>
          <w:numId w:val="3"/>
        </w:numPr>
        <w:spacing w:after="80" w:line="268"/>
      </w:pPr>
      <w:r>
        <w:rPr>
          <w:b/>
          <w:bCs/>
          <w:color w:val="222222"/>
          <w:sz w:val="21"/>
          <w:szCs w:val="21"/>
        </w:rPr>
        <w:t xml:space="preserve">Decide. </w:t>
      </w:r>
      <w:r>
        <w:rPr>
          <w:color w:val="5B5B5B"/>
          <w:sz w:val="21"/>
          <w:szCs w:val="21"/>
        </w:rPr>
        <w:t xml:space="preserve">Approve (and flag for payroll tax), deny (with a reason code), or pend (with a clear request for what is missing).</w:t>
      </w:r>
    </w:p>
    <w:p>
      <w:pPr>
        <w:pStyle w:val="ListParagraph"/>
        <w:numPr>
          <w:ilvl w:val="0"/>
          <w:numId w:val="3"/>
        </w:numPr>
        <w:spacing w:after="80" w:line="268"/>
      </w:pPr>
      <w:r>
        <w:rPr>
          <w:b/>
          <w:bCs/>
          <w:color w:val="222222"/>
          <w:sz w:val="21"/>
          <w:szCs w:val="21"/>
        </w:rPr>
        <w:t xml:space="preserve">Record and communicate. </w:t>
      </w:r>
      <w:r>
        <w:rPr>
          <w:color w:val="5B5B5B"/>
          <w:sz w:val="21"/>
          <w:szCs w:val="21"/>
        </w:rPr>
        <w:t xml:space="preserve">Document the decision and reason code, and ensure the Explanation of Benefits reflects the outcome and appeal rights.</w:t>
      </w:r>
    </w:p>
    <w:p>
      <w:pPr>
        <w:pStyle w:val="Heading1"/>
        <w:pBdr>
          <w:bottom w:val="single" w:color="BA0C2F" w:sz="6" w:space="4"/>
        </w:pBdr>
        <w:spacing w:after="160" w:before="360"/>
      </w:pPr>
      <w:r>
        <w:t xml:space="preserve">7. Coordination With the HCSA and Health Plan</w:t>
      </w:r>
    </w:p>
    <w:p>
      <w:pPr>
        <w:spacing w:after="140" w:line="276"/>
      </w:pPr>
      <w:r>
        <w:rPr>
          <w:color w:val="5B5B5B"/>
          <w:sz w:val="21"/>
          <w:szCs w:val="21"/>
        </w:rPr>
        <w:t xml:space="preserve">WSA coordination logic runs opposite to the HCSA. The WSA is the bucket for non-medical wellness items. Anything that qualifies as a CRA medical expense should be paid through the health plan and HCSA, not the WSA.</w:t>
      </w:r>
    </w:p>
    <w:p>
      <w:pPr>
        <w:pStyle w:val="Heading2"/>
        <w:spacing w:after="120" w:before="240"/>
      </w:pPr>
      <w:r>
        <w:t xml:space="preserve">7.1 The order of payment for a medical expense</w:t>
      </w:r>
    </w:p>
    <w:p>
      <w:pPr>
        <w:pStyle w:val="ListParagraph"/>
        <w:numPr>
          <w:ilvl w:val="0"/>
          <w:numId w:val="4"/>
        </w:numPr>
        <w:spacing w:after="80" w:line="268"/>
      </w:pPr>
      <w:r>
        <w:rPr>
          <w:color w:val="5B5B5B"/>
          <w:sz w:val="21"/>
          <w:szCs w:val="21"/>
        </w:rPr>
        <w:t xml:space="preserve">Extended health benefit pays first, per the plan's coinsurance and maximums.</w:t>
      </w:r>
    </w:p>
    <w:p>
      <w:pPr>
        <w:pStyle w:val="ListParagraph"/>
        <w:numPr>
          <w:ilvl w:val="0"/>
          <w:numId w:val="4"/>
        </w:numPr>
        <w:spacing w:after="80" w:line="268"/>
      </w:pPr>
      <w:r>
        <w:rPr>
          <w:color w:val="5B5B5B"/>
          <w:sz w:val="21"/>
          <w:szCs w:val="21"/>
        </w:rPr>
        <w:t xml:space="preserve">Coordination of benefits applies if a second plan exists (for example a spouse's plan).</w:t>
      </w:r>
    </w:p>
    <w:p>
      <w:pPr>
        <w:pStyle w:val="ListParagraph"/>
        <w:numPr>
          <w:ilvl w:val="0"/>
          <w:numId w:val="4"/>
        </w:numPr>
        <w:spacing w:after="80" w:line="268"/>
      </w:pPr>
      <w:r>
        <w:rPr>
          <w:color w:val="5B5B5B"/>
          <w:sz w:val="21"/>
          <w:szCs w:val="21"/>
        </w:rPr>
        <w:t xml:space="preserve">The HCSA covers the remaining eligible medical balance (deductibles, coinsurance gaps, items over plan maximums).</w:t>
      </w:r>
    </w:p>
    <w:p>
      <w:pPr>
        <w:pStyle w:val="ListParagraph"/>
        <w:numPr>
          <w:ilvl w:val="0"/>
          <w:numId w:val="4"/>
        </w:numPr>
        <w:spacing w:after="80" w:line="268"/>
      </w:pPr>
      <w:r>
        <w:rPr>
          <w:color w:val="5B5B5B"/>
          <w:sz w:val="21"/>
          <w:szCs w:val="21"/>
        </w:rPr>
        <w:t xml:space="preserve">The WSA is not used for medical expenses at all.</w:t>
      </w:r>
    </w:p>
    <w:p>
      <w:pPr>
        <w:pStyle w:val="Heading2"/>
        <w:spacing w:after="120" w:before="240"/>
      </w:pPr>
      <w:r>
        <w:t xml:space="preserve">7.2 The grey zone: items that can be either</w:t>
      </w:r>
    </w:p>
    <w:p>
      <w:pPr>
        <w:spacing w:after="140" w:line="276"/>
      </w:pPr>
      <w:r>
        <w:rPr>
          <w:color w:val="5B5B5B"/>
          <w:sz w:val="21"/>
          <w:szCs w:val="21"/>
        </w:rPr>
        <w:t xml:space="preserve">Some services appear in WSA category lists but become medical expenses when prescribed or when claimable elsewhere. Massage therapy, acupuncture, and naturopathy are the common examples.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Grey-zone rule</w:t>
            </w:r>
          </w:p>
          <w:p>
            <w:pPr>
              <w:spacing w:after="40" w:line="264"/>
            </w:pPr>
            <w:r>
              <w:rPr>
                <w:color w:val="3A3A3A"/>
                <w:sz w:val="19"/>
                <w:szCs w:val="19"/>
              </w:rPr>
              <w:t xml:space="preserve">If the service is claimable as a CRA medical expense or is covered under the health plan, it is not a WSA expense — route it to the health plan or HCSA. The WSA only picks up such services when they are genuinely not claimable as a medical expense and not covered elsewhere.</w:t>
            </w:r>
          </w:p>
        </w:tc>
      </w:tr>
    </w:tbl>
    <w:p>
      <w:pPr>
        <w:pStyle w:val="Heading2"/>
        <w:spacing w:after="120" w:before="240"/>
      </w:pPr>
      <w:r>
        <w:t xml:space="preserve">7.3 Why the order matters</w:t>
      </w:r>
    </w:p>
    <w:p>
      <w:pPr>
        <w:pStyle w:val="ListParagraph"/>
        <w:numPr>
          <w:ilvl w:val="0"/>
          <w:numId w:val="2"/>
        </w:numPr>
        <w:spacing w:after="80" w:line="268"/>
      </w:pPr>
      <w:r>
        <w:rPr>
          <w:b/>
          <w:bCs/>
          <w:color w:val="222222"/>
          <w:sz w:val="21"/>
          <w:szCs w:val="21"/>
        </w:rPr>
        <w:t xml:space="preserve">Tax efficiency. </w:t>
      </w:r>
      <w:r>
        <w:rPr>
          <w:color w:val="5B5B5B"/>
          <w:sz w:val="21"/>
          <w:szCs w:val="21"/>
        </w:rPr>
        <w:t xml:space="preserve">Medical expenses paid through the HCSA are tax-free; the same expense paid through the WSA becomes taxable. Correct routing protects the member.</w:t>
      </w:r>
    </w:p>
    <w:p>
      <w:pPr>
        <w:pStyle w:val="ListParagraph"/>
        <w:numPr>
          <w:ilvl w:val="0"/>
          <w:numId w:val="2"/>
        </w:numPr>
        <w:spacing w:after="80" w:line="268"/>
      </w:pPr>
      <w:r>
        <w:rPr>
          <w:b/>
          <w:bCs/>
          <w:color w:val="222222"/>
          <w:sz w:val="21"/>
          <w:szCs w:val="21"/>
        </w:rPr>
        <w:t xml:space="preserve">Balance preservation. </w:t>
      </w:r>
      <w:r>
        <w:rPr>
          <w:color w:val="5B5B5B"/>
          <w:sz w:val="21"/>
          <w:szCs w:val="21"/>
        </w:rPr>
        <w:t xml:space="preserve">Using the WSA only for genuinely non-medical items preserves the member's WSA credits for their intended purpose.</w:t>
      </w:r>
    </w:p>
    <w:p>
      <w:pPr>
        <w:pStyle w:val="ListParagraph"/>
        <w:numPr>
          <w:ilvl w:val="0"/>
          <w:numId w:val="2"/>
        </w:numPr>
        <w:spacing w:after="80" w:line="268"/>
      </w:pPr>
      <w:r>
        <w:rPr>
          <w:b/>
          <w:bCs/>
          <w:color w:val="222222"/>
          <w:sz w:val="21"/>
          <w:szCs w:val="21"/>
        </w:rPr>
        <w:t xml:space="preserve">Audit integrity. </w:t>
      </w:r>
      <w:r>
        <w:rPr>
          <w:color w:val="5B5B5B"/>
          <w:sz w:val="21"/>
          <w:szCs w:val="21"/>
        </w:rPr>
        <w:t xml:space="preserve">Mis-routing medical expenses into the WSA distorts taxable-benefit reporting and is an audit risk.</w:t>
      </w:r>
    </w:p>
    <w:p>
      <w:pPr>
        <w:pStyle w:val="Heading1"/>
        <w:pBdr>
          <w:bottom w:val="single" w:color="BA0C2F" w:sz="6" w:space="4"/>
        </w:pBdr>
        <w:spacing w:after="160" w:before="360"/>
      </w:pPr>
      <w:r>
        <w:t xml:space="preserve">8. Documentation Standards: Valid and Invalid Receipts</w:t>
      </w:r>
    </w:p>
    <w:p>
      <w:pPr>
        <w:spacing w:after="140" w:line="276"/>
      </w:pPr>
      <w:r>
        <w:rPr>
          <w:color w:val="5B5B5B"/>
          <w:sz w:val="21"/>
          <w:szCs w:val="21"/>
        </w:rPr>
        <w:t xml:space="preserve">Gate three turns on documentation. A WSA receipt must let the adjudicator confirm what was bought, when, for how much, who paid, and that it was paid in full.</w:t>
      </w:r>
    </w:p>
    <w:p>
      <w:pPr>
        <w:pStyle w:val="Heading2"/>
        <w:spacing w:after="120" w:before="240"/>
      </w:pPr>
      <w:r>
        <w:t xml:space="preserve">8.1 What a valid receipt must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Required element</w:t>
            </w:r>
          </w:p>
        </w:tc>
        <w:tc>
          <w:tcPr>
            <w:tcW w:type="dxa" w:w="66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What to look for</w:t>
            </w:r>
          </w:p>
        </w:tc>
      </w:tr>
      <w:tr>
        <w:tc>
          <w:tcPr>
            <w:tcW w:type="dxa" w:w="27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Vendor / provider name</w:t>
            </w:r>
          </w:p>
        </w:tc>
        <w:tc>
          <w:tcPr>
            <w:tcW w:type="dxa" w:w="66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The business or provider that supplied the goods or service.</w:t>
            </w:r>
          </w:p>
        </w:tc>
      </w:tr>
      <w:tr>
        <w:tc>
          <w:tcPr>
            <w:tcW w:type="dxa" w:w="27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Description of goods or services</w:t>
            </w:r>
          </w:p>
        </w:tc>
        <w:tc>
          <w:tcPr>
            <w:tcW w:type="dxa" w:w="66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An itemized description, not just a category or a total. “Misc.” or “Services rendered” alone is insufficient.</w:t>
            </w:r>
          </w:p>
        </w:tc>
      </w:tr>
      <w:tr>
        <w:tc>
          <w:tcPr>
            <w:tcW w:type="dxa" w:w="27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Date incurred</w:t>
            </w:r>
          </w:p>
        </w:tc>
        <w:tc>
          <w:tcPr>
            <w:tcW w:type="dxa" w:w="66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The date the service was rendered or the goods were purchased. This date sets the benefit year.</w:t>
            </w:r>
          </w:p>
        </w:tc>
      </w:tr>
      <w:tr>
        <w:tc>
          <w:tcPr>
            <w:tcW w:type="dxa" w:w="27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Amount</w:t>
            </w:r>
          </w:p>
        </w:tc>
        <w:tc>
          <w:tcPr>
            <w:tcW w:type="dxa" w:w="66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The amount charged, with taxes shown where applicable.</w:t>
            </w:r>
          </w:p>
        </w:tc>
      </w:tr>
      <w:tr>
        <w:tc>
          <w:tcPr>
            <w:tcW w:type="dxa" w:w="27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Proof of payment</w:t>
            </w:r>
          </w:p>
        </w:tc>
        <w:tc>
          <w:tcPr>
            <w:tcW w:type="dxa" w:w="66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Evidence the expense was paid in full — not a deposit, quote, or estimate.</w:t>
            </w:r>
          </w:p>
        </w:tc>
      </w:tr>
      <w:tr>
        <w:tc>
          <w:tcPr>
            <w:tcW w:type="dxa" w:w="27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Claimant's name</w:t>
            </w:r>
          </w:p>
        </w:tc>
        <w:tc>
          <w:tcPr>
            <w:tcW w:type="dxa" w:w="66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The receipt should be in the eligible person's name. Many plans accept originals only.</w:t>
            </w:r>
          </w:p>
        </w:tc>
      </w:tr>
    </w:tbl>
    <w:p>
      <w:pPr>
        <w:pStyle w:val="Heading2"/>
        <w:spacing w:after="120" w:before="240"/>
      </w:pPr>
      <w:r>
        <w:t xml:space="preserve">8.2 What makes a receipt invalid</w:t>
      </w:r>
    </w:p>
    <w:p>
      <w:pPr>
        <w:pStyle w:val="ListParagraph"/>
        <w:numPr>
          <w:ilvl w:val="0"/>
          <w:numId w:val="2"/>
        </w:numPr>
        <w:spacing w:after="80" w:line="268"/>
      </w:pPr>
      <w:r>
        <w:rPr>
          <w:color w:val="5B5B5B"/>
          <w:sz w:val="21"/>
          <w:szCs w:val="21"/>
        </w:rPr>
        <w:t xml:space="preserve">Undated receipts, or receipts where the service date cannot be determined.</w:t>
      </w:r>
    </w:p>
    <w:p>
      <w:pPr>
        <w:pStyle w:val="ListParagraph"/>
        <w:numPr>
          <w:ilvl w:val="0"/>
          <w:numId w:val="2"/>
        </w:numPr>
        <w:spacing w:after="80" w:line="268"/>
      </w:pPr>
      <w:r>
        <w:rPr>
          <w:color w:val="5B5B5B"/>
          <w:sz w:val="21"/>
          <w:szCs w:val="21"/>
        </w:rPr>
        <w:t xml:space="preserve">Quotes, estimates, or deposit receipts (expense not yet paid in full).</w:t>
      </w:r>
    </w:p>
    <w:p>
      <w:pPr>
        <w:pStyle w:val="ListParagraph"/>
        <w:numPr>
          <w:ilvl w:val="0"/>
          <w:numId w:val="2"/>
        </w:numPr>
        <w:spacing w:after="80" w:line="268"/>
      </w:pPr>
      <w:r>
        <w:rPr>
          <w:color w:val="5B5B5B"/>
          <w:sz w:val="21"/>
          <w:szCs w:val="21"/>
        </w:rPr>
        <w:t xml:space="preserve">Credit-card slips or bank statements without an itemized breakdown of what was purchased.</w:t>
      </w:r>
    </w:p>
    <w:p>
      <w:pPr>
        <w:pStyle w:val="ListParagraph"/>
        <w:numPr>
          <w:ilvl w:val="0"/>
          <w:numId w:val="2"/>
        </w:numPr>
        <w:spacing w:after="80" w:line="268"/>
      </w:pPr>
      <w:r>
        <w:rPr>
          <w:color w:val="5B5B5B"/>
          <w:sz w:val="21"/>
          <w:szCs w:val="21"/>
        </w:rPr>
        <w:t xml:space="preserve">Gift-card or gift-certificate purchase receipts — buying a gift card is not an eligible expense, and purchases later funded by a gift card are generally not reimbursable.</w:t>
      </w:r>
    </w:p>
    <w:p>
      <w:pPr>
        <w:pStyle w:val="ListParagraph"/>
        <w:numPr>
          <w:ilvl w:val="0"/>
          <w:numId w:val="2"/>
        </w:numPr>
        <w:spacing w:after="80" w:line="268"/>
      </w:pPr>
      <w:r>
        <w:rPr>
          <w:color w:val="5B5B5B"/>
          <w:sz w:val="21"/>
          <w:szCs w:val="21"/>
        </w:rPr>
        <w:t xml:space="preserve">Receipts in another person's name, where the plan does not permit dependent claims.</w:t>
      </w:r>
    </w:p>
    <w:p>
      <w:pPr>
        <w:pStyle w:val="ListParagraph"/>
        <w:numPr>
          <w:ilvl w:val="0"/>
          <w:numId w:val="2"/>
        </w:numPr>
        <w:spacing w:after="80" w:line="268"/>
      </w:pPr>
      <w:r>
        <w:rPr>
          <w:color w:val="5B5B5B"/>
          <w:sz w:val="21"/>
          <w:szCs w:val="21"/>
        </w:rPr>
        <w:t xml:space="preserve">Altered, handwritten, or incomplete receipts lacking verifiable vendor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When documentation is incomplete</w:t>
            </w:r>
          </w:p>
          <w:p>
            <w:pPr>
              <w:spacing w:after="40" w:line="264"/>
            </w:pPr>
            <w:r>
              <w:rPr>
                <w:color w:val="3A3A3A"/>
                <w:sz w:val="19"/>
                <w:szCs w:val="19"/>
              </w:rPr>
              <w:t xml:space="preserve">Pend the claim (code P-DOC) and tell the member exactly what is missing — for example, “please provide an itemized receipt showing the service date” or “please provide proof of payment in full.” Set the service-level clock and resolve once the document arrives. Deny only if the member cannot supply valid documentation within the plan's window.</w:t>
            </w:r>
          </w:p>
        </w:tc>
      </w:tr>
    </w:tbl>
    <w:p>
      <w:pPr>
        <w:pStyle w:val="Heading2"/>
        <w:spacing w:after="120" w:before="240"/>
      </w:pPr>
      <w:r>
        <w:t xml:space="preserve">8.3 Date of service versus date of purchase</w:t>
      </w:r>
    </w:p>
    <w:p>
      <w:pPr>
        <w:spacing w:after="140" w:line="276"/>
      </w:pPr>
      <w:r>
        <w:rPr>
          <w:color w:val="5B5B5B"/>
          <w:sz w:val="21"/>
          <w:szCs w:val="21"/>
        </w:rPr>
        <w:t xml:space="preserve">Always use the date the expense was incurred — the date the service was rendered or the goods were purchased — to determine the benefit year and the balance to draw against. Do not use the submission date, and do not use individual instalment dates on a financing plan. For memberships or passes that span a year-end, follow the plan's rule; most often the start or purchase date governs.</w:t>
      </w:r>
    </w:p>
    <w:p>
      <w:pPr>
        <w:pStyle w:val="Heading1"/>
        <w:pBdr>
          <w:bottom w:val="single" w:color="BA0C2F" w:sz="6" w:space="4"/>
        </w:pBdr>
        <w:spacing w:after="160" w:before="360"/>
      </w:pPr>
      <w:r>
        <w:t xml:space="preserve">9. Eligible Expense Categories (Inclusions)</w:t>
      </w:r>
    </w:p>
    <w:p>
      <w:pPr>
        <w:spacing w:after="140" w:line="276"/>
      </w:pPr>
      <w:r>
        <w:rPr>
          <w:color w:val="5B5B5B"/>
          <w:sz w:val="21"/>
          <w:szCs w:val="21"/>
        </w:rPr>
        <w:t xml:space="preserve">The categories below consolidate standard Canadian WSA eligible-expense lists. Treat this as the master list. Any individual plan may adopt only a subset, so always confirm the category is active in the specific plan before approving.</w:t>
      </w:r>
    </w:p>
    <w:p>
      <w:pPr>
        <w:pStyle w:val="Heading2"/>
        <w:spacing w:after="120" w:before="240"/>
      </w:pPr>
      <w:r>
        <w:t xml:space="preserve">9.1 Fitness services and equipment</w:t>
      </w:r>
    </w:p>
    <w:p>
      <w:pPr>
        <w:spacing w:after="140" w:line="276"/>
      </w:pPr>
      <w:r>
        <w:rPr>
          <w:b/>
          <w:bCs/>
          <w:color w:val="BA0C2F"/>
          <w:sz w:val="20"/>
          <w:szCs w:val="20"/>
        </w:rPr>
        <w:t xml:space="preserve">Category code: </w:t>
      </w:r>
      <w:r>
        <w:rPr>
          <w:color w:val="5B5B5B"/>
          <w:sz w:val="20"/>
          <w:szCs w:val="20"/>
        </w:rPr>
        <w:t xml:space="preserve">WSA-FIT.  </w:t>
      </w:r>
      <w:r>
        <w:rPr>
          <w:color w:val="5B5B5B"/>
          <w:sz w:val="21"/>
          <w:szCs w:val="21"/>
        </w:rPr>
        <w:t xml:space="preserve">Activities, memberships, instruction, and gear that support physical fitness and active recreation.</w:t>
      </w:r>
    </w:p>
    <w:p>
      <w:pPr>
        <w:pStyle w:val="ListParagraph"/>
        <w:numPr>
          <w:ilvl w:val="0"/>
          <w:numId w:val="2"/>
        </w:numPr>
        <w:spacing w:after="80" w:line="268"/>
      </w:pPr>
      <w:r>
        <w:rPr>
          <w:color w:val="5B5B5B"/>
          <w:sz w:val="21"/>
          <w:szCs w:val="21"/>
        </w:rPr>
        <w:t xml:space="preserve">Gym, fitness club, and studio memberships; virtual fitness class registration.</w:t>
      </w:r>
    </w:p>
    <w:p>
      <w:pPr>
        <w:pStyle w:val="ListParagraph"/>
        <w:numPr>
          <w:ilvl w:val="0"/>
          <w:numId w:val="2"/>
        </w:numPr>
        <w:spacing w:after="80" w:line="268"/>
      </w:pPr>
      <w:r>
        <w:rPr>
          <w:color w:val="5B5B5B"/>
          <w:sz w:val="21"/>
          <w:szCs w:val="21"/>
        </w:rPr>
        <w:t xml:space="preserve">Fitness programs and lessons (aerobics, yoga, pilates, dance, martial arts, swimming).</w:t>
      </w:r>
    </w:p>
    <w:p>
      <w:pPr>
        <w:pStyle w:val="ListParagraph"/>
        <w:numPr>
          <w:ilvl w:val="0"/>
          <w:numId w:val="2"/>
        </w:numPr>
        <w:spacing w:after="80" w:line="268"/>
      </w:pPr>
      <w:r>
        <w:rPr>
          <w:color w:val="5B5B5B"/>
          <w:sz w:val="21"/>
          <w:szCs w:val="21"/>
        </w:rPr>
        <w:t xml:space="preserve">Sports team and league memberships and registration fees.</w:t>
      </w:r>
    </w:p>
    <w:p>
      <w:pPr>
        <w:pStyle w:val="ListParagraph"/>
        <w:numPr>
          <w:ilvl w:val="0"/>
          <w:numId w:val="2"/>
        </w:numPr>
        <w:spacing w:after="80" w:line="268"/>
      </w:pPr>
      <w:r>
        <w:rPr>
          <w:color w:val="5B5B5B"/>
          <w:sz w:val="21"/>
          <w:szCs w:val="21"/>
        </w:rPr>
        <w:t xml:space="preserve">Daily or annual passes to athletic facilities (golf courses, racquet and tennis clubs, ski hills, climbing gyms).</w:t>
      </w:r>
    </w:p>
    <w:p>
      <w:pPr>
        <w:pStyle w:val="ListParagraph"/>
        <w:numPr>
          <w:ilvl w:val="0"/>
          <w:numId w:val="2"/>
        </w:numPr>
        <w:spacing w:after="80" w:line="268"/>
      </w:pPr>
      <w:r>
        <w:rPr>
          <w:color w:val="5B5B5B"/>
          <w:sz w:val="21"/>
          <w:szCs w:val="21"/>
        </w:rPr>
        <w:t xml:space="preserve">Personal trainers, fitness consultants, and exercise physiologists.</w:t>
      </w:r>
    </w:p>
    <w:p>
      <w:pPr>
        <w:pStyle w:val="ListParagraph"/>
        <w:numPr>
          <w:ilvl w:val="0"/>
          <w:numId w:val="2"/>
        </w:numPr>
        <w:spacing w:after="80" w:line="268"/>
      </w:pPr>
      <w:r>
        <w:rPr>
          <w:color w:val="5B5B5B"/>
          <w:sz w:val="21"/>
          <w:szCs w:val="21"/>
        </w:rPr>
        <w:t xml:space="preserve">Registration for walks, runs, races, and recreational events.</w:t>
      </w:r>
    </w:p>
    <w:p>
      <w:pPr>
        <w:pStyle w:val="ListParagraph"/>
        <w:numPr>
          <w:ilvl w:val="0"/>
          <w:numId w:val="2"/>
        </w:numPr>
        <w:spacing w:after="80" w:line="268"/>
      </w:pPr>
      <w:r>
        <w:rPr>
          <w:color w:val="5B5B5B"/>
          <w:sz w:val="21"/>
          <w:szCs w:val="21"/>
        </w:rPr>
        <w:t xml:space="preserve">Recreational activity fees (boating, camping, trail and park passes); hunting and fishing licences.</w:t>
      </w:r>
    </w:p>
    <w:p>
      <w:pPr>
        <w:pStyle w:val="ListParagraph"/>
        <w:numPr>
          <w:ilvl w:val="0"/>
          <w:numId w:val="2"/>
        </w:numPr>
        <w:spacing w:after="80" w:line="268"/>
      </w:pPr>
      <w:r>
        <w:rPr>
          <w:color w:val="5B5B5B"/>
          <w:sz w:val="21"/>
          <w:szCs w:val="21"/>
        </w:rPr>
        <w:t xml:space="preserve">Fitness equipment: treadmills, stationary bikes, weights, and home gym equipment.</w:t>
      </w:r>
    </w:p>
    <w:p>
      <w:pPr>
        <w:pStyle w:val="ListParagraph"/>
        <w:numPr>
          <w:ilvl w:val="0"/>
          <w:numId w:val="2"/>
        </w:numPr>
        <w:spacing w:after="80" w:line="268"/>
      </w:pPr>
      <w:r>
        <w:rPr>
          <w:color w:val="5B5B5B"/>
          <w:sz w:val="21"/>
          <w:szCs w:val="21"/>
        </w:rPr>
        <w:t xml:space="preserve">Specialized sports equipment (skates, bicycles, non-motorized boats, rackets, clubs) and athletic footwear and apparel.</w:t>
      </w:r>
    </w:p>
    <w:p>
      <w:pPr>
        <w:pStyle w:val="ListParagraph"/>
        <w:numPr>
          <w:ilvl w:val="0"/>
          <w:numId w:val="2"/>
        </w:numPr>
        <w:spacing w:after="80" w:line="268"/>
      </w:pPr>
      <w:r>
        <w:rPr>
          <w:color w:val="5B5B5B"/>
          <w:sz w:val="21"/>
          <w:szCs w:val="21"/>
        </w:rPr>
        <w:t xml:space="preserve">Athletic safety equipment (helmets, mouth guards) and fitness trackers, smartwatches, and heart-rate monitors.</w:t>
      </w:r>
    </w:p>
    <w:p>
      <w:pPr>
        <w:pStyle w:val="Heading2"/>
        <w:spacing w:after="120" w:before="240"/>
      </w:pPr>
      <w:r>
        <w:t xml:space="preserve">9.2 Nutrition and health products and services</w:t>
      </w:r>
    </w:p>
    <w:p>
      <w:pPr>
        <w:spacing w:after="140" w:line="276"/>
      </w:pPr>
      <w:r>
        <w:rPr>
          <w:b/>
          <w:bCs/>
          <w:color w:val="BA0C2F"/>
          <w:sz w:val="20"/>
          <w:szCs w:val="20"/>
        </w:rPr>
        <w:t xml:space="preserve">Category code: </w:t>
      </w:r>
      <w:r>
        <w:rPr>
          <w:color w:val="5B5B5B"/>
          <w:sz w:val="20"/>
          <w:szCs w:val="20"/>
        </w:rPr>
        <w:t xml:space="preserve">WSA-NUT.  </w:t>
      </w:r>
      <w:r>
        <w:rPr>
          <w:color w:val="5B5B5B"/>
          <w:sz w:val="21"/>
          <w:szCs w:val="21"/>
        </w:rPr>
        <w:t xml:space="preserve">Programs, counselling, screening, and products that support nutrition and preventive health.</w:t>
      </w:r>
    </w:p>
    <w:p>
      <w:pPr>
        <w:pStyle w:val="ListParagraph"/>
        <w:numPr>
          <w:ilvl w:val="0"/>
          <w:numId w:val="2"/>
        </w:numPr>
        <w:spacing w:after="80" w:line="268"/>
      </w:pPr>
      <w:r>
        <w:rPr>
          <w:color w:val="5B5B5B"/>
          <w:sz w:val="21"/>
          <w:szCs w:val="21"/>
        </w:rPr>
        <w:t xml:space="preserve">Weight-management programs (the program fee only, not the food).</w:t>
      </w:r>
    </w:p>
    <w:p>
      <w:pPr>
        <w:pStyle w:val="ListParagraph"/>
        <w:numPr>
          <w:ilvl w:val="0"/>
          <w:numId w:val="2"/>
        </w:numPr>
        <w:spacing w:after="80" w:line="268"/>
      </w:pPr>
      <w:r>
        <w:rPr>
          <w:color w:val="5B5B5B"/>
          <w:sz w:val="21"/>
          <w:szCs w:val="21"/>
        </w:rPr>
        <w:t xml:space="preserve">Nutrition programs and counselling; dietitian and nutritionist services where not a medical expense.</w:t>
      </w:r>
    </w:p>
    <w:p>
      <w:pPr>
        <w:pStyle w:val="ListParagraph"/>
        <w:numPr>
          <w:ilvl w:val="0"/>
          <w:numId w:val="2"/>
        </w:numPr>
        <w:spacing w:after="80" w:line="268"/>
      </w:pPr>
      <w:r>
        <w:rPr>
          <w:color w:val="5B5B5B"/>
          <w:sz w:val="21"/>
          <w:szCs w:val="21"/>
        </w:rPr>
        <w:t xml:space="preserve">Cholesterol, hypertension, and similar health screenings.</w:t>
      </w:r>
    </w:p>
    <w:p>
      <w:pPr>
        <w:pStyle w:val="ListParagraph"/>
        <w:numPr>
          <w:ilvl w:val="0"/>
          <w:numId w:val="2"/>
        </w:numPr>
        <w:spacing w:after="80" w:line="268"/>
      </w:pPr>
      <w:r>
        <w:rPr>
          <w:color w:val="5B5B5B"/>
          <w:sz w:val="21"/>
          <w:szCs w:val="21"/>
        </w:rPr>
        <w:t xml:space="preserve">Smoking-cessation programs and products.</w:t>
      </w:r>
    </w:p>
    <w:p>
      <w:pPr>
        <w:pStyle w:val="ListParagraph"/>
        <w:numPr>
          <w:ilvl w:val="0"/>
          <w:numId w:val="2"/>
        </w:numPr>
        <w:spacing w:after="80" w:line="268"/>
      </w:pPr>
      <w:r>
        <w:rPr>
          <w:color w:val="5B5B5B"/>
          <w:sz w:val="21"/>
          <w:szCs w:val="21"/>
        </w:rPr>
        <w:t xml:space="preserve">Vitamins, supplements, and herbal products; blenders and juicers.</w:t>
      </w:r>
    </w:p>
    <w:p>
      <w:pPr>
        <w:pStyle w:val="ListParagraph"/>
        <w:numPr>
          <w:ilvl w:val="0"/>
          <w:numId w:val="2"/>
        </w:numPr>
        <w:spacing w:after="80" w:line="268"/>
      </w:pPr>
      <w:r>
        <w:rPr>
          <w:color w:val="5B5B5B"/>
          <w:sz w:val="21"/>
          <w:szCs w:val="21"/>
        </w:rPr>
        <w:t xml:space="preserve">Stress-management programs.</w:t>
      </w:r>
    </w:p>
    <w:p>
      <w:pPr>
        <w:pStyle w:val="ListParagraph"/>
        <w:numPr>
          <w:ilvl w:val="0"/>
          <w:numId w:val="2"/>
        </w:numPr>
        <w:spacing w:after="80" w:line="268"/>
      </w:pPr>
      <w:r>
        <w:rPr>
          <w:color w:val="5B5B5B"/>
          <w:sz w:val="21"/>
          <w:szCs w:val="21"/>
        </w:rPr>
        <w:t xml:space="preserve">First aid and CPR training.</w:t>
      </w:r>
    </w:p>
    <w:p>
      <w:pPr>
        <w:pStyle w:val="ListParagraph"/>
        <w:numPr>
          <w:ilvl w:val="0"/>
          <w:numId w:val="2"/>
        </w:numPr>
        <w:spacing w:after="80" w:line="268"/>
      </w:pPr>
      <w:r>
        <w:rPr>
          <w:color w:val="5B5B5B"/>
          <w:sz w:val="21"/>
          <w:szCs w:val="21"/>
        </w:rPr>
        <w:t xml:space="preserve">Health, fitness, and lifestyle assessments (allergy testing, ergonomic assessments, genetic testing).</w:t>
      </w:r>
    </w:p>
    <w:p>
      <w:pPr>
        <w:pStyle w:val="ListParagraph"/>
        <w:numPr>
          <w:ilvl w:val="0"/>
          <w:numId w:val="2"/>
        </w:numPr>
        <w:spacing w:after="80" w:line="268"/>
      </w:pPr>
      <w:r>
        <w:rPr>
          <w:color w:val="5B5B5B"/>
          <w:sz w:val="21"/>
          <w:szCs w:val="21"/>
        </w:rPr>
        <w:t xml:space="preserve">Sleep aids: orthopaedic mattresses and pillows, darkening blinds, white-noise machines, earplugs.</w:t>
      </w:r>
    </w:p>
    <w:p>
      <w:pPr>
        <w:pStyle w:val="Heading2"/>
        <w:spacing w:after="120" w:before="240"/>
      </w:pPr>
      <w:r>
        <w:t xml:space="preserve">9.3 Mental wellness</w:t>
      </w:r>
    </w:p>
    <w:p>
      <w:pPr>
        <w:spacing w:after="140" w:line="276"/>
      </w:pPr>
      <w:r>
        <w:rPr>
          <w:b/>
          <w:bCs/>
          <w:color w:val="BA0C2F"/>
          <w:sz w:val="20"/>
          <w:szCs w:val="20"/>
        </w:rPr>
        <w:t xml:space="preserve">Category code: </w:t>
      </w:r>
      <w:r>
        <w:rPr>
          <w:color w:val="5B5B5B"/>
          <w:sz w:val="20"/>
          <w:szCs w:val="20"/>
        </w:rPr>
        <w:t xml:space="preserve">WSA-MEN.  </w:t>
      </w:r>
      <w:r>
        <w:rPr>
          <w:color w:val="5B5B5B"/>
          <w:sz w:val="21"/>
          <w:szCs w:val="21"/>
        </w:rPr>
        <w:t xml:space="preserve">Tools and services supporting mental health and resilience that are not claimable as a medical expense.</w:t>
      </w:r>
    </w:p>
    <w:p>
      <w:pPr>
        <w:pStyle w:val="ListParagraph"/>
        <w:numPr>
          <w:ilvl w:val="0"/>
          <w:numId w:val="2"/>
        </w:numPr>
        <w:spacing w:after="80" w:line="268"/>
      </w:pPr>
      <w:r>
        <w:rPr>
          <w:color w:val="5B5B5B"/>
          <w:sz w:val="21"/>
          <w:szCs w:val="21"/>
        </w:rPr>
        <w:t xml:space="preserve">Meditation and mindfulness apps and subscriptions.</w:t>
      </w:r>
    </w:p>
    <w:p>
      <w:pPr>
        <w:pStyle w:val="ListParagraph"/>
        <w:numPr>
          <w:ilvl w:val="0"/>
          <w:numId w:val="2"/>
        </w:numPr>
        <w:spacing w:after="80" w:line="268"/>
      </w:pPr>
      <w:r>
        <w:rPr>
          <w:color w:val="5B5B5B"/>
          <w:sz w:val="21"/>
          <w:szCs w:val="21"/>
        </w:rPr>
        <w:t xml:space="preserve">Counselling services where not claimable as a CRA medical expense.</w:t>
      </w:r>
    </w:p>
    <w:p>
      <w:pPr>
        <w:pStyle w:val="ListParagraph"/>
        <w:numPr>
          <w:ilvl w:val="0"/>
          <w:numId w:val="2"/>
        </w:numPr>
        <w:spacing w:after="80" w:line="268"/>
      </w:pPr>
      <w:r>
        <w:rPr>
          <w:color w:val="5B5B5B"/>
          <w:sz w:val="21"/>
          <w:szCs w:val="21"/>
        </w:rPr>
        <w:t xml:space="preserve">Life-coach services and stress management.</w:t>
      </w:r>
    </w:p>
    <w:p>
      <w:pPr>
        <w:pStyle w:val="ListParagraph"/>
        <w:numPr>
          <w:ilvl w:val="0"/>
          <w:numId w:val="2"/>
        </w:numPr>
        <w:spacing w:after="80" w:line="268"/>
      </w:pPr>
      <w:r>
        <w:rPr>
          <w:color w:val="5B5B5B"/>
          <w:sz w:val="21"/>
          <w:szCs w:val="21"/>
        </w:rPr>
        <w:t xml:space="preserve">Wellness or spiritual retreat fees (the program fee only, not travel or accommodation).</w:t>
      </w:r>
    </w:p>
    <w:p>
      <w:pPr>
        <w:pStyle w:val="ListParagraph"/>
        <w:numPr>
          <w:ilvl w:val="0"/>
          <w:numId w:val="2"/>
        </w:numPr>
        <w:spacing w:after="80" w:line="268"/>
      </w:pPr>
      <w:r>
        <w:rPr>
          <w:color w:val="5B5B5B"/>
          <w:sz w:val="21"/>
          <w:szCs w:val="21"/>
        </w:rPr>
        <w:t xml:space="preserve">Financial counselling and coaching.</w:t>
      </w:r>
    </w:p>
    <w:p>
      <w:pPr>
        <w:pStyle w:val="Heading2"/>
        <w:spacing w:after="120" w:before="240"/>
      </w:pPr>
      <w:r>
        <w:t xml:space="preserve">9.4 Family and lifestyle (work-life balance)</w:t>
      </w:r>
    </w:p>
    <w:p>
      <w:pPr>
        <w:spacing w:after="140" w:line="276"/>
      </w:pPr>
      <w:r>
        <w:rPr>
          <w:b/>
          <w:bCs/>
          <w:color w:val="BA0C2F"/>
          <w:sz w:val="20"/>
          <w:szCs w:val="20"/>
        </w:rPr>
        <w:t xml:space="preserve">Category code: </w:t>
      </w:r>
      <w:r>
        <w:rPr>
          <w:color w:val="5B5B5B"/>
          <w:sz w:val="20"/>
          <w:szCs w:val="20"/>
        </w:rPr>
        <w:t xml:space="preserve">WSA-FAM.  </w:t>
      </w:r>
      <w:r>
        <w:rPr>
          <w:color w:val="5B5B5B"/>
          <w:sz w:val="21"/>
          <w:szCs w:val="21"/>
        </w:rPr>
        <w:t xml:space="preserve">Services that support family responsibilities and day-to-day balance.</w:t>
      </w:r>
    </w:p>
    <w:p>
      <w:pPr>
        <w:pStyle w:val="ListParagraph"/>
        <w:numPr>
          <w:ilvl w:val="0"/>
          <w:numId w:val="2"/>
        </w:numPr>
        <w:spacing w:after="80" w:line="268"/>
      </w:pPr>
      <w:r>
        <w:rPr>
          <w:color w:val="5B5B5B"/>
          <w:sz w:val="21"/>
          <w:szCs w:val="21"/>
        </w:rPr>
        <w:t xml:space="preserve">Childcare, including educational materials.</w:t>
      </w:r>
    </w:p>
    <w:p>
      <w:pPr>
        <w:pStyle w:val="ListParagraph"/>
        <w:numPr>
          <w:ilvl w:val="0"/>
          <w:numId w:val="2"/>
        </w:numPr>
        <w:spacing w:after="80" w:line="268"/>
      </w:pPr>
      <w:r>
        <w:rPr>
          <w:color w:val="5B5B5B"/>
          <w:sz w:val="21"/>
          <w:szCs w:val="21"/>
        </w:rPr>
        <w:t xml:space="preserve">Elder care.</w:t>
      </w:r>
    </w:p>
    <w:p>
      <w:pPr>
        <w:pStyle w:val="ListParagraph"/>
        <w:numPr>
          <w:ilvl w:val="0"/>
          <w:numId w:val="2"/>
        </w:numPr>
        <w:spacing w:after="80" w:line="268"/>
      </w:pPr>
      <w:r>
        <w:rPr>
          <w:color w:val="5B5B5B"/>
          <w:sz w:val="21"/>
          <w:szCs w:val="21"/>
        </w:rPr>
        <w:t xml:space="preserve">Pet-care services (kenneling, obedience training, dog walking, veterinarian fees) and pet insurance.</w:t>
      </w:r>
    </w:p>
    <w:p>
      <w:pPr>
        <w:pStyle w:val="ListParagraph"/>
        <w:numPr>
          <w:ilvl w:val="0"/>
          <w:numId w:val="2"/>
        </w:numPr>
        <w:spacing w:after="80" w:line="268"/>
      </w:pPr>
      <w:r>
        <w:rPr>
          <w:color w:val="5B5B5B"/>
          <w:sz w:val="21"/>
          <w:szCs w:val="21"/>
        </w:rPr>
        <w:t xml:space="preserve">Domestic services (house cleaning, snow removal, landscaping, moving).</w:t>
      </w:r>
    </w:p>
    <w:p>
      <w:pPr>
        <w:pStyle w:val="ListParagraph"/>
        <w:numPr>
          <w:ilvl w:val="0"/>
          <w:numId w:val="2"/>
        </w:numPr>
        <w:spacing w:after="80" w:line="268"/>
      </w:pPr>
      <w:r>
        <w:rPr>
          <w:color w:val="5B5B5B"/>
          <w:sz w:val="21"/>
          <w:szCs w:val="21"/>
        </w:rPr>
        <w:t xml:space="preserve">Food-delivery service fees (the service fee only, not the food).</w:t>
      </w:r>
    </w:p>
    <w:p>
      <w:pPr>
        <w:pStyle w:val="Heading2"/>
        <w:spacing w:after="120" w:before="240"/>
      </w:pPr>
      <w:r>
        <w:t xml:space="preserve">9.5 Professional and personal development</w:t>
      </w:r>
    </w:p>
    <w:p>
      <w:pPr>
        <w:spacing w:after="140" w:line="276"/>
      </w:pPr>
      <w:r>
        <w:rPr>
          <w:b/>
          <w:bCs/>
          <w:color w:val="BA0C2F"/>
          <w:sz w:val="20"/>
          <w:szCs w:val="20"/>
        </w:rPr>
        <w:t xml:space="preserve">Category code: </w:t>
      </w:r>
      <w:r>
        <w:rPr>
          <w:color w:val="5B5B5B"/>
          <w:sz w:val="20"/>
          <w:szCs w:val="20"/>
        </w:rPr>
        <w:t xml:space="preserve">WSA-DEV.  </w:t>
      </w:r>
      <w:r>
        <w:rPr>
          <w:color w:val="5B5B5B"/>
          <w:sz w:val="21"/>
          <w:szCs w:val="21"/>
        </w:rPr>
        <w:t xml:space="preserve">Learning and development that supports the member's growth and interests.</w:t>
      </w:r>
    </w:p>
    <w:p>
      <w:pPr>
        <w:pStyle w:val="ListParagraph"/>
        <w:numPr>
          <w:ilvl w:val="0"/>
          <w:numId w:val="2"/>
        </w:numPr>
        <w:spacing w:after="80" w:line="268"/>
      </w:pPr>
      <w:r>
        <w:rPr>
          <w:color w:val="5B5B5B"/>
          <w:sz w:val="21"/>
          <w:szCs w:val="21"/>
        </w:rPr>
        <w:t xml:space="preserve">Tuition for university, college, and continuing education, including books and supplies.</w:t>
      </w:r>
    </w:p>
    <w:p>
      <w:pPr>
        <w:pStyle w:val="ListParagraph"/>
        <w:numPr>
          <w:ilvl w:val="0"/>
          <w:numId w:val="2"/>
        </w:numPr>
        <w:spacing w:after="80" w:line="268"/>
      </w:pPr>
      <w:r>
        <w:rPr>
          <w:color w:val="5B5B5B"/>
          <w:sz w:val="21"/>
          <w:szCs w:val="21"/>
        </w:rPr>
        <w:t xml:space="preserve">Language training and tutoring.</w:t>
      </w:r>
    </w:p>
    <w:p>
      <w:pPr>
        <w:pStyle w:val="ListParagraph"/>
        <w:numPr>
          <w:ilvl w:val="0"/>
          <w:numId w:val="2"/>
        </w:numPr>
        <w:spacing w:after="80" w:line="268"/>
      </w:pPr>
      <w:r>
        <w:rPr>
          <w:color w:val="5B5B5B"/>
          <w:sz w:val="21"/>
          <w:szCs w:val="21"/>
        </w:rPr>
        <w:t xml:space="preserve">Professional membership fees and designation maintenance.</w:t>
      </w:r>
    </w:p>
    <w:p>
      <w:pPr>
        <w:pStyle w:val="ListParagraph"/>
        <w:numPr>
          <w:ilvl w:val="0"/>
          <w:numId w:val="2"/>
        </w:numPr>
        <w:spacing w:after="80" w:line="268"/>
      </w:pPr>
      <w:r>
        <w:rPr>
          <w:color w:val="5B5B5B"/>
          <w:sz w:val="21"/>
          <w:szCs w:val="21"/>
        </w:rPr>
        <w:t xml:space="preserve">Hobby and general-interest classes.</w:t>
      </w:r>
    </w:p>
    <w:p>
      <w:pPr>
        <w:pStyle w:val="ListParagraph"/>
        <w:numPr>
          <w:ilvl w:val="0"/>
          <w:numId w:val="2"/>
        </w:numPr>
        <w:spacing w:after="80" w:line="268"/>
      </w:pPr>
      <w:r>
        <w:rPr>
          <w:color w:val="5B5B5B"/>
          <w:sz w:val="21"/>
          <w:szCs w:val="21"/>
        </w:rPr>
        <w:t xml:space="preserve">Online courses through recognized institutions.</w:t>
      </w:r>
    </w:p>
    <w:p>
      <w:pPr>
        <w:pStyle w:val="ListParagraph"/>
        <w:numPr>
          <w:ilvl w:val="0"/>
          <w:numId w:val="2"/>
        </w:numPr>
        <w:spacing w:after="80" w:line="268"/>
      </w:pPr>
      <w:r>
        <w:rPr>
          <w:color w:val="5B5B5B"/>
          <w:sz w:val="21"/>
          <w:szCs w:val="21"/>
        </w:rPr>
        <w:t xml:space="preserve">Conferences and seminars (registration only; unrelated travel is excluded in many plans).</w:t>
      </w:r>
    </w:p>
    <w:p>
      <w:pPr>
        <w:pStyle w:val="ListParagraph"/>
        <w:numPr>
          <w:ilvl w:val="0"/>
          <w:numId w:val="2"/>
        </w:numPr>
        <w:spacing w:after="80" w:line="268"/>
      </w:pPr>
      <w:r>
        <w:rPr>
          <w:color w:val="5B5B5B"/>
          <w:sz w:val="21"/>
          <w:szCs w:val="21"/>
        </w:rPr>
        <w:t xml:space="preserve">Reading materials, subscriptions, and e-readers.</w:t>
      </w:r>
    </w:p>
    <w:p>
      <w:pPr>
        <w:pStyle w:val="Heading2"/>
        <w:spacing w:after="120" w:before="240"/>
      </w:pPr>
      <w:r>
        <w:t xml:space="preserve">9.6 Health, safety, and home office</w:t>
      </w:r>
    </w:p>
    <w:p>
      <w:pPr>
        <w:spacing w:after="140" w:line="276"/>
      </w:pPr>
      <w:r>
        <w:rPr>
          <w:b/>
          <w:bCs/>
          <w:color w:val="BA0C2F"/>
          <w:sz w:val="20"/>
          <w:szCs w:val="20"/>
        </w:rPr>
        <w:t xml:space="preserve">Category code: </w:t>
      </w:r>
      <w:r>
        <w:rPr>
          <w:color w:val="5B5B5B"/>
          <w:sz w:val="20"/>
          <w:szCs w:val="20"/>
        </w:rPr>
        <w:t xml:space="preserve">WSA-SAF.  </w:t>
      </w:r>
      <w:r>
        <w:rPr>
          <w:color w:val="5B5B5B"/>
          <w:sz w:val="21"/>
          <w:szCs w:val="21"/>
        </w:rPr>
        <w:t xml:space="preserve">Equipment and services that support a safe and ergonomic environment.</w:t>
      </w:r>
    </w:p>
    <w:p>
      <w:pPr>
        <w:pStyle w:val="ListParagraph"/>
        <w:numPr>
          <w:ilvl w:val="0"/>
          <w:numId w:val="2"/>
        </w:numPr>
        <w:spacing w:after="80" w:line="268"/>
      </w:pPr>
      <w:r>
        <w:rPr>
          <w:color w:val="5B5B5B"/>
          <w:sz w:val="21"/>
          <w:szCs w:val="21"/>
        </w:rPr>
        <w:t xml:space="preserve">Ergonomic chairs, desks, and sit-stand desks.</w:t>
      </w:r>
    </w:p>
    <w:p>
      <w:pPr>
        <w:pStyle w:val="ListParagraph"/>
        <w:numPr>
          <w:ilvl w:val="0"/>
          <w:numId w:val="2"/>
        </w:numPr>
        <w:spacing w:after="80" w:line="268"/>
      </w:pPr>
      <w:r>
        <w:rPr>
          <w:color w:val="5B5B5B"/>
          <w:sz w:val="21"/>
          <w:szCs w:val="21"/>
        </w:rPr>
        <w:t xml:space="preserve">Home-office equipment and secure-shredding fees.</w:t>
      </w:r>
    </w:p>
    <w:p>
      <w:pPr>
        <w:pStyle w:val="ListParagraph"/>
        <w:numPr>
          <w:ilvl w:val="0"/>
          <w:numId w:val="2"/>
        </w:numPr>
        <w:spacing w:after="80" w:line="268"/>
      </w:pPr>
      <w:r>
        <w:rPr>
          <w:color w:val="5B5B5B"/>
          <w:sz w:val="21"/>
          <w:szCs w:val="21"/>
        </w:rPr>
        <w:t xml:space="preserve">Personal protective equipment (masks, gloves, sanitizer).</w:t>
      </w:r>
    </w:p>
    <w:p>
      <w:pPr>
        <w:pStyle w:val="ListParagraph"/>
        <w:numPr>
          <w:ilvl w:val="0"/>
          <w:numId w:val="2"/>
        </w:numPr>
        <w:spacing w:after="80" w:line="268"/>
      </w:pPr>
      <w:r>
        <w:rPr>
          <w:color w:val="5B5B5B"/>
          <w:sz w:val="21"/>
          <w:szCs w:val="21"/>
        </w:rPr>
        <w:t xml:space="preserve">Protective safety equipment (safety boots, eye protection).</w:t>
      </w:r>
    </w:p>
    <w:p>
      <w:pPr>
        <w:pStyle w:val="ListParagraph"/>
        <w:numPr>
          <w:ilvl w:val="0"/>
          <w:numId w:val="2"/>
        </w:numPr>
        <w:spacing w:after="80" w:line="268"/>
      </w:pPr>
      <w:r>
        <w:rPr>
          <w:color w:val="5B5B5B"/>
          <w:sz w:val="21"/>
          <w:szCs w:val="21"/>
        </w:rPr>
        <w:t xml:space="preserve">Smoke and carbon-monoxide detectors, fire extinguishers.</w:t>
      </w:r>
    </w:p>
    <w:p>
      <w:pPr>
        <w:pStyle w:val="ListParagraph"/>
        <w:numPr>
          <w:ilvl w:val="0"/>
          <w:numId w:val="2"/>
        </w:numPr>
        <w:spacing w:after="80" w:line="268"/>
      </w:pPr>
      <w:r>
        <w:rPr>
          <w:color w:val="5B5B5B"/>
          <w:sz w:val="21"/>
          <w:szCs w:val="21"/>
        </w:rPr>
        <w:t xml:space="preserve">Home security systems.</w:t>
      </w:r>
    </w:p>
    <w:p>
      <w:pPr>
        <w:pStyle w:val="ListParagraph"/>
        <w:numPr>
          <w:ilvl w:val="0"/>
          <w:numId w:val="2"/>
        </w:numPr>
        <w:spacing w:after="80" w:line="268"/>
      </w:pPr>
      <w:r>
        <w:rPr>
          <w:color w:val="5B5B5B"/>
          <w:sz w:val="21"/>
          <w:szCs w:val="21"/>
        </w:rPr>
        <w:t xml:space="preserve">Outdoor safety gear (life jackets, bear spray, avalanche kits).</w:t>
      </w:r>
    </w:p>
    <w:p>
      <w:pPr>
        <w:pStyle w:val="Heading2"/>
        <w:spacing w:after="120" w:before="240"/>
      </w:pPr>
      <w:r>
        <w:t xml:space="preserve">9.7 Preventive and alternative services</w:t>
      </w:r>
    </w:p>
    <w:p>
      <w:pPr>
        <w:spacing w:after="140" w:line="276"/>
      </w:pPr>
      <w:r>
        <w:rPr>
          <w:b/>
          <w:bCs/>
          <w:color w:val="BA0C2F"/>
          <w:sz w:val="20"/>
          <w:szCs w:val="20"/>
        </w:rPr>
        <w:t xml:space="preserve">Category code: </w:t>
      </w:r>
      <w:r>
        <w:rPr>
          <w:color w:val="5B5B5B"/>
          <w:sz w:val="20"/>
          <w:szCs w:val="20"/>
        </w:rPr>
        <w:t xml:space="preserve">WSA-ALT.  </w:t>
      </w:r>
      <w:r>
        <w:rPr>
          <w:color w:val="5B5B5B"/>
          <w:sz w:val="21"/>
          <w:szCs w:val="21"/>
        </w:rPr>
        <w:t xml:space="preserve">Wellness services that the WSA covers only when they are not claimable as a medical expense and not covered by the health plan.</w:t>
      </w:r>
    </w:p>
    <w:p>
      <w:pPr>
        <w:pStyle w:val="ListParagraph"/>
        <w:numPr>
          <w:ilvl w:val="0"/>
          <w:numId w:val="2"/>
        </w:numPr>
        <w:spacing w:after="80" w:line="268"/>
      </w:pPr>
      <w:r>
        <w:rPr>
          <w:color w:val="5B5B5B"/>
          <w:sz w:val="21"/>
          <w:szCs w:val="21"/>
        </w:rPr>
        <w:t xml:space="preserve">Massage, acupuncture, naturopathy, Reiki, Rolfing, light therapy, and day-spa services — eligible under the WSA only where not claimable as a CRA medical expense and not covered elsewhere (see Section 7).</w:t>
      </w:r>
    </w:p>
    <w:p>
      <w:pPr>
        <w:pStyle w:val="Heading2"/>
        <w:spacing w:after="120" w:before="240"/>
      </w:pPr>
      <w:r>
        <w:t xml:space="preserve">9.8 Financial and professional services (some plans only)</w:t>
      </w:r>
    </w:p>
    <w:p>
      <w:pPr>
        <w:spacing w:after="140" w:line="276"/>
      </w:pPr>
      <w:r>
        <w:rPr>
          <w:b/>
          <w:bCs/>
          <w:color w:val="BA0C2F"/>
          <w:sz w:val="20"/>
          <w:szCs w:val="20"/>
        </w:rPr>
        <w:t xml:space="preserve">Category code: </w:t>
      </w:r>
      <w:r>
        <w:rPr>
          <w:color w:val="5B5B5B"/>
          <w:sz w:val="20"/>
          <w:szCs w:val="20"/>
        </w:rPr>
        <w:t xml:space="preserve">WSA-FIN.  </w:t>
      </w:r>
      <w:r>
        <w:rPr>
          <w:color w:val="5B5B5B"/>
          <w:sz w:val="21"/>
          <w:szCs w:val="21"/>
        </w:rPr>
        <w:t xml:space="preserve">Where the sponsor elects to include them, certain financial and professional services qualify.</w:t>
      </w:r>
    </w:p>
    <w:p>
      <w:pPr>
        <w:pStyle w:val="ListParagraph"/>
        <w:numPr>
          <w:ilvl w:val="0"/>
          <w:numId w:val="2"/>
        </w:numPr>
        <w:spacing w:after="80" w:line="268"/>
      </w:pPr>
      <w:r>
        <w:rPr>
          <w:color w:val="5B5B5B"/>
          <w:sz w:val="21"/>
          <w:szCs w:val="21"/>
        </w:rPr>
        <w:t xml:space="preserve">RRSP, RESP, TFSA, and RDSP contributions; pension buy-back.</w:t>
      </w:r>
    </w:p>
    <w:p>
      <w:pPr>
        <w:pStyle w:val="ListParagraph"/>
        <w:numPr>
          <w:ilvl w:val="0"/>
          <w:numId w:val="2"/>
        </w:numPr>
        <w:spacing w:after="80" w:line="268"/>
      </w:pPr>
      <w:r>
        <w:rPr>
          <w:color w:val="5B5B5B"/>
          <w:sz w:val="21"/>
          <w:szCs w:val="21"/>
        </w:rPr>
        <w:t xml:space="preserve">Estate planning, financial counselling, and tax-return preparation.</w:t>
      </w:r>
    </w:p>
    <w:p>
      <w:pPr>
        <w:pStyle w:val="ListParagraph"/>
        <w:numPr>
          <w:ilvl w:val="0"/>
          <w:numId w:val="2"/>
        </w:numPr>
        <w:spacing w:after="80" w:line="268"/>
      </w:pPr>
      <w:r>
        <w:rPr>
          <w:color w:val="5B5B5B"/>
          <w:sz w:val="21"/>
          <w:szCs w:val="21"/>
        </w:rPr>
        <w:t xml:space="preserve">Legal fees (wills, divorce, home purchase).</w:t>
      </w:r>
    </w:p>
    <w:p>
      <w:pPr>
        <w:pStyle w:val="ListParagraph"/>
        <w:numPr>
          <w:ilvl w:val="0"/>
          <w:numId w:val="2"/>
        </w:numPr>
        <w:spacing w:after="80" w:line="268"/>
      </w:pPr>
      <w:r>
        <w:rPr>
          <w:color w:val="5B5B5B"/>
          <w:sz w:val="21"/>
          <w:szCs w:val="21"/>
        </w:rPr>
        <w:t xml:space="preserve">Certain insurance premiums (life, critical illness, pet).</w:t>
      </w:r>
    </w:p>
    <w:p>
      <w:pPr>
        <w:pStyle w:val="ListParagraph"/>
        <w:numPr>
          <w:ilvl w:val="0"/>
          <w:numId w:val="2"/>
        </w:numPr>
        <w:spacing w:after="80" w:line="268"/>
      </w:pPr>
      <w:r>
        <w:rPr>
          <w:color w:val="5B5B5B"/>
          <w:sz w:val="21"/>
          <w:szCs w:val="21"/>
        </w:rPr>
        <w:t xml:space="preserve">Green-living items in some designs (transit passes, energy-efficient products, bike-sharing).</w:t>
      </w:r>
    </w:p>
    <w:p>
      <w:pPr>
        <w:pStyle w:val="Heading1"/>
        <w:pBdr>
          <w:bottom w:val="single" w:color="BA0C2F" w:sz="6" w:space="4"/>
        </w:pBdr>
        <w:spacing w:after="160" w:before="360"/>
      </w:pPr>
      <w:r>
        <w:t xml:space="preserve">10. Exclusions</w:t>
      </w:r>
    </w:p>
    <w:p>
      <w:pPr>
        <w:spacing w:after="140" w:line="276"/>
      </w:pPr>
      <w:r>
        <w:rPr>
          <w:color w:val="5B5B5B"/>
          <w:sz w:val="21"/>
          <w:szCs w:val="21"/>
        </w:rPr>
        <w:t xml:space="preserve">The WSA does not reimburse the following. Where an item is excluded because it belongs in another account, route it rather than simply denying it.</w:t>
      </w:r>
    </w:p>
    <w:p>
      <w:pPr>
        <w:pStyle w:val="Heading2"/>
        <w:spacing w:after="120" w:before="240"/>
      </w:pPr>
      <w:r>
        <w:t xml:space="preserve">10.1 Why items are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Exclusion theme</w:t>
            </w:r>
          </w:p>
        </w:tc>
        <w:tc>
          <w:tcPr>
            <w:tcW w:type="dxa" w:w="43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Rationale</w:t>
            </w:r>
          </w:p>
        </w:tc>
        <w:tc>
          <w:tcPr>
            <w:tcW w:type="dxa" w:w="25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Adjudicator action</w:t>
            </w:r>
          </w:p>
        </w:tc>
      </w:tr>
      <w:tr>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Overlaps with a CRA medical expense or the health plan</w:t>
            </w:r>
          </w:p>
        </w:tc>
        <w:tc>
          <w:tcPr>
            <w:tcW w:type="dxa" w:w="4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It belongs in the HCSA or extended health, where it is tax-free</w:t>
            </w:r>
          </w:p>
        </w:tc>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Route to HCSA / health (code R-HCSA), do not pay from WSA</w:t>
            </w:r>
          </w:p>
        </w:tc>
      </w:tr>
      <w:tr>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The food itself</w:t>
            </w:r>
          </w:p>
        </w:tc>
        <w:tc>
          <w:tcPr>
            <w:tcW w:type="dxa" w:w="43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In weight-management, meal, and food-delivery contexts the program or service fee may be eligible, but groceries and food are not</w:t>
            </w:r>
          </w:p>
        </w:tc>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Approve the eligible fee portion only; deny the food</w:t>
            </w:r>
          </w:p>
        </w:tc>
      </w:tr>
      <w:tr>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Travel and accommodation tied to a retreat or coaching</w:t>
            </w:r>
          </w:p>
        </w:tc>
        <w:tc>
          <w:tcPr>
            <w:tcW w:type="dxa" w:w="4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The service may be eligible; the travel usually is not</w:t>
            </w:r>
          </w:p>
        </w:tc>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Approve the service fee; deny travel and lodging</w:t>
            </w:r>
          </w:p>
        </w:tc>
      </w:tr>
      <w:tr>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Equipment or apparel in activity-fee-only categories</w:t>
            </w:r>
          </w:p>
        </w:tc>
        <w:tc>
          <w:tcPr>
            <w:tcW w:type="dxa" w:w="43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Some plans cover the activity but not the gear</w:t>
            </w:r>
          </w:p>
        </w:tc>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Check the specific plan's category rules before approving gear</w:t>
            </w:r>
          </w:p>
        </w:tc>
      </w:tr>
      <w:tr>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Personal-interest items in a professional-development category</w:t>
            </w:r>
          </w:p>
        </w:tc>
        <w:tc>
          <w:tcPr>
            <w:tcW w:type="dxa" w:w="4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Unrelated travel, time off, and personal-interest purchases fall outside development</w:t>
            </w:r>
          </w:p>
        </w:tc>
        <w:tc>
          <w:tcPr>
            <w:tcW w:type="dxa" w:w="25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Deny the out-of-scope portion</w:t>
            </w:r>
          </w:p>
        </w:tc>
      </w:tr>
      <w:tr>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Service charges, bank fees, union dues</w:t>
            </w:r>
          </w:p>
        </w:tc>
        <w:tc>
          <w:tcPr>
            <w:tcW w:type="dxa" w:w="43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Excluded from financial categories</w:t>
            </w:r>
          </w:p>
        </w:tc>
        <w:tc>
          <w:tcPr>
            <w:tcW w:type="dxa" w:w="25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Deny</w:t>
            </w:r>
          </w:p>
        </w:tc>
      </w:tr>
    </w:tbl>
    <w:p>
      <w:pPr>
        <w:pStyle w:val="Heading2"/>
        <w:spacing w:after="120" w:before="240"/>
      </w:pPr>
      <w:r>
        <w:t xml:space="preserve">10.2 Commonly excluded items</w:t>
      </w:r>
    </w:p>
    <w:p>
      <w:pPr>
        <w:pStyle w:val="ListParagraph"/>
        <w:numPr>
          <w:ilvl w:val="0"/>
          <w:numId w:val="2"/>
        </w:numPr>
        <w:spacing w:after="80" w:line="268"/>
      </w:pPr>
      <w:r>
        <w:rPr>
          <w:color w:val="5B5B5B"/>
          <w:sz w:val="21"/>
          <w:szCs w:val="21"/>
        </w:rPr>
        <w:t xml:space="preserve">General retail and groceries.</w:t>
      </w:r>
    </w:p>
    <w:p>
      <w:pPr>
        <w:pStyle w:val="ListParagraph"/>
        <w:numPr>
          <w:ilvl w:val="0"/>
          <w:numId w:val="2"/>
        </w:numPr>
        <w:spacing w:after="80" w:line="268"/>
      </w:pPr>
      <w:r>
        <w:rPr>
          <w:color w:val="5B5B5B"/>
          <w:sz w:val="21"/>
          <w:szCs w:val="21"/>
        </w:rPr>
        <w:t xml:space="preserve">Alcohol and tobacco (the product).</w:t>
      </w:r>
    </w:p>
    <w:p>
      <w:pPr>
        <w:pStyle w:val="ListParagraph"/>
        <w:numPr>
          <w:ilvl w:val="0"/>
          <w:numId w:val="2"/>
        </w:numPr>
        <w:spacing w:after="80" w:line="268"/>
      </w:pPr>
      <w:r>
        <w:rPr>
          <w:color w:val="5B5B5B"/>
          <w:sz w:val="21"/>
          <w:szCs w:val="21"/>
        </w:rPr>
        <w:t xml:space="preserve">Cosmetics and general toiletries.</w:t>
      </w:r>
    </w:p>
    <w:p>
      <w:pPr>
        <w:pStyle w:val="ListParagraph"/>
        <w:numPr>
          <w:ilvl w:val="0"/>
          <w:numId w:val="2"/>
        </w:numPr>
        <w:spacing w:after="80" w:line="268"/>
      </w:pPr>
      <w:r>
        <w:rPr>
          <w:color w:val="5B5B5B"/>
          <w:sz w:val="21"/>
          <w:szCs w:val="21"/>
        </w:rPr>
        <w:t xml:space="preserve">Gift cards and gift certificates, and purchases later funded by them.</w:t>
      </w:r>
    </w:p>
    <w:p>
      <w:pPr>
        <w:pStyle w:val="ListParagraph"/>
        <w:numPr>
          <w:ilvl w:val="0"/>
          <w:numId w:val="2"/>
        </w:numPr>
        <w:spacing w:after="80" w:line="268"/>
      </w:pPr>
      <w:r>
        <w:rPr>
          <w:color w:val="5B5B5B"/>
          <w:sz w:val="21"/>
          <w:szCs w:val="21"/>
        </w:rPr>
        <w:t xml:space="preserve">Expenses for non-eligible persons (for example, dependents where the plan is employee-only).</w:t>
      </w:r>
    </w:p>
    <w:p>
      <w:pPr>
        <w:pStyle w:val="ListParagraph"/>
        <w:numPr>
          <w:ilvl w:val="0"/>
          <w:numId w:val="2"/>
        </w:numPr>
        <w:spacing w:after="80" w:line="268"/>
      </w:pPr>
      <w:r>
        <w:rPr>
          <w:color w:val="5B5B5B"/>
          <w:sz w:val="21"/>
          <w:szCs w:val="21"/>
        </w:rPr>
        <w:t xml:space="preserve">Expenses incurred outside the benefit period, or before the WSA effective date.</w:t>
      </w:r>
    </w:p>
    <w:p>
      <w:pPr>
        <w:pStyle w:val="Heading1"/>
        <w:pBdr>
          <w:bottom w:val="single" w:color="BA0C2F" w:sz="6" w:space="4"/>
        </w:pBdr>
        <w:spacing w:after="160" w:before="360"/>
      </w:pPr>
      <w:r>
        <w:t xml:space="preserve">11. Decision Outcomes: Approve, Deny, Pend</w:t>
      </w:r>
    </w:p>
    <w:p>
      <w:pPr>
        <w:spacing w:after="140" w:line="276"/>
      </w:pPr>
      <w:r>
        <w:rPr>
          <w:color w:val="5B5B5B"/>
          <w:sz w:val="21"/>
          <w:szCs w:val="21"/>
        </w:rPr>
        <w:t xml:space="preserve">Every claim resolves to one of three outcomes. Each carries a reason code and a clear member communication.</w:t>
      </w:r>
    </w:p>
    <w:p>
      <w:pPr>
        <w:pStyle w:val="Heading2"/>
        <w:spacing w:after="120" w:before="240"/>
      </w:pPr>
      <w:r>
        <w:t xml:space="preserve">11.1 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C" w:sz="1"/>
              <w:left w:val="single" w:color="2E7D46" w:sz="18"/>
              <w:bottom w:val="single" w:color="E8F3EC" w:sz="1"/>
              <w:right w:val="single" w:color="E8F3EC" w:sz="1"/>
            </w:tcBorders>
            <w:shd w:fill="E8F3EC" w:val="clear"/>
            <w:tcMar>
              <w:top w:type="dxa" w:w="110"/>
              <w:left w:type="dxa" w:w="160"/>
              <w:bottom w:type="dxa" w:w="110"/>
              <w:right w:type="dxa" w:w="160"/>
            </w:tcMar>
          </w:tcPr>
          <w:p>
            <w:pPr>
              <w:spacing w:after="60"/>
            </w:pPr>
            <w:r>
              <w:rPr>
                <w:b/>
                <w:bCs/>
                <w:color w:val="2E7D46"/>
                <w:sz w:val="20"/>
                <w:szCs w:val="20"/>
              </w:rPr>
              <w:t xml:space="preserve">Approve when</w:t>
            </w:r>
          </w:p>
          <w:p>
            <w:pPr>
              <w:spacing w:after="40" w:line="264"/>
            </w:pPr>
            <w:r>
              <w:rPr>
                <w:color w:val="3A3A3A"/>
                <w:sz w:val="19"/>
                <w:szCs w:val="19"/>
              </w:rPr>
              <w:t xml:space="preserve">All three gates pass (eligible person, eligible expense in-period and not medical, valid proof) and a balance is available. Release the eligible amount for payment and flag it for payroll tax. If only part of the claim is eligible or the balance is partial, approve the eligible / available portion and deny the remainder with an explanation.</w:t>
            </w:r>
          </w:p>
        </w:tc>
      </w:tr>
    </w:tbl>
    <w:p>
      <w:pPr>
        <w:pStyle w:val="Heading2"/>
        <w:spacing w:after="120" w:before="240"/>
      </w:pPr>
      <w:r>
        <w:t xml:space="preserve">11.2 Deny</w:t>
      </w:r>
    </w:p>
    <w:p>
      <w:pPr>
        <w:spacing w:after="140" w:line="276"/>
      </w:pPr>
      <w:r>
        <w:rPr>
          <w:color w:val="5B5B5B"/>
          <w:sz w:val="21"/>
          <w:szCs w:val="21"/>
        </w:rPr>
        <w:t xml:space="preserve">Deny when an expense or person is ineligible, the expense is out-of-period, documentation is invalid and cannot be cured, or the balance is exhausted. Always give a clear reason code and appeal information on the Explanation of Benefits.</w:t>
      </w:r>
    </w:p>
    <w:p>
      <w:pPr>
        <w:pStyle w:val="Heading2"/>
        <w:spacing w:after="120" w:before="240"/>
      </w:pPr>
      <w:r>
        <w:t xml:space="preserve">11.3 Pend</w:t>
      </w:r>
    </w:p>
    <w:p>
      <w:pPr>
        <w:spacing w:after="140" w:line="276"/>
      </w:pPr>
      <w:r>
        <w:rPr>
          <w:color w:val="5B5B5B"/>
          <w:sz w:val="21"/>
          <w:szCs w:val="21"/>
        </w:rPr>
        <w:t xml:space="preserve">Pend when the claim is potentially payable but something is missing or needs review — documentation, category clarification, possible duplicate, or a fraud flag. Tell the member exactly what is required and start the service-level clock.</w:t>
      </w:r>
    </w:p>
    <w:p>
      <w:pPr>
        <w:pStyle w:val="Heading2"/>
        <w:spacing w:after="120" w:before="240"/>
      </w:pPr>
      <w:r>
        <w:t xml:space="preserve">11.4 Reason codes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Code</w:t>
            </w:r>
          </w:p>
        </w:tc>
        <w:tc>
          <w:tcPr>
            <w:tcW w:type="dxa" w:w="22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Outcome</w:t>
            </w:r>
          </w:p>
        </w:tc>
        <w:tc>
          <w:tcPr>
            <w:tcW w:type="dxa" w:w="58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Meaning</w:t>
            </w:r>
          </w:p>
        </w:tc>
      </w:tr>
      <w:tr>
        <w:tc>
          <w:tcPr>
            <w:tcW w:type="dxa" w:w="1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A-OK</w:t>
            </w:r>
          </w:p>
        </w:tc>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Approve</w:t>
            </w:r>
          </w:p>
        </w:tc>
        <w:tc>
          <w:tcPr>
            <w:tcW w:type="dxa" w:w="58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All gates passed; eligible amount released and tax-flagged.</w:t>
            </w:r>
          </w:p>
        </w:tc>
      </w:tr>
      <w:tr>
        <w:tc>
          <w:tcPr>
            <w:tcW w:type="dxa" w:w="1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A-PART</w:t>
            </w:r>
          </w:p>
        </w:tc>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Approve (partial)</w:t>
            </w:r>
          </w:p>
        </w:tc>
        <w:tc>
          <w:tcPr>
            <w:tcW w:type="dxa" w:w="58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Eligible / available portion approved; remainder denied.</w:t>
            </w:r>
          </w:p>
        </w:tc>
      </w:tr>
      <w:tr>
        <w:tc>
          <w:tcPr>
            <w:tcW w:type="dxa" w:w="1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D-PERS</w:t>
            </w:r>
          </w:p>
        </w:tc>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Deny</w:t>
            </w:r>
          </w:p>
        </w:tc>
        <w:tc>
          <w:tcPr>
            <w:tcW w:type="dxa" w:w="58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Claimant not an eligible person, or coverage inactive on the expense date.</w:t>
            </w:r>
          </w:p>
        </w:tc>
      </w:tr>
      <w:tr>
        <w:tc>
          <w:tcPr>
            <w:tcW w:type="dxa" w:w="1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D-EXP</w:t>
            </w:r>
          </w:p>
        </w:tc>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Deny</w:t>
            </w:r>
          </w:p>
        </w:tc>
        <w:tc>
          <w:tcPr>
            <w:tcW w:type="dxa" w:w="58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Expense not on the plan's eligible category list.</w:t>
            </w:r>
          </w:p>
        </w:tc>
      </w:tr>
      <w:tr>
        <w:tc>
          <w:tcPr>
            <w:tcW w:type="dxa" w:w="1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D-PER</w:t>
            </w:r>
          </w:p>
        </w:tc>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Deny</w:t>
            </w:r>
          </w:p>
        </w:tc>
        <w:tc>
          <w:tcPr>
            <w:tcW w:type="dxa" w:w="58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Expense incurred outside the benefit period or runout window.</w:t>
            </w:r>
          </w:p>
        </w:tc>
      </w:tr>
      <w:tr>
        <w:tc>
          <w:tcPr>
            <w:tcW w:type="dxa" w:w="1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D-DOC</w:t>
            </w:r>
          </w:p>
        </w:tc>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Deny</w:t>
            </w:r>
          </w:p>
        </w:tc>
        <w:tc>
          <w:tcPr>
            <w:tcW w:type="dxa" w:w="58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Documentation invalid and not cured within the plan window.</w:t>
            </w:r>
          </w:p>
        </w:tc>
      </w:tr>
      <w:tr>
        <w:tc>
          <w:tcPr>
            <w:tcW w:type="dxa" w:w="1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D-BAL</w:t>
            </w:r>
          </w:p>
        </w:tc>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Deny</w:t>
            </w:r>
          </w:p>
        </w:tc>
        <w:tc>
          <w:tcPr>
            <w:tcW w:type="dxa" w:w="58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Available credit balance exhausted.</w:t>
            </w:r>
          </w:p>
        </w:tc>
      </w:tr>
      <w:tr>
        <w:tc>
          <w:tcPr>
            <w:tcW w:type="dxa" w:w="1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R-HCSA</w:t>
            </w:r>
          </w:p>
        </w:tc>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Route</w:t>
            </w:r>
          </w:p>
        </w:tc>
        <w:tc>
          <w:tcPr>
            <w:tcW w:type="dxa" w:w="58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Expense is a CRA medical expense; redirected to HCSA / extended health.</w:t>
            </w:r>
          </w:p>
        </w:tc>
      </w:tr>
      <w:tr>
        <w:tc>
          <w:tcPr>
            <w:tcW w:type="dxa" w:w="13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P-DOC</w:t>
            </w:r>
          </w:p>
        </w:tc>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Pend</w:t>
            </w:r>
          </w:p>
        </w:tc>
        <w:tc>
          <w:tcPr>
            <w:tcW w:type="dxa" w:w="58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Awaiting valid or complete documentation.</w:t>
            </w:r>
          </w:p>
        </w:tc>
      </w:tr>
      <w:tr>
        <w:tc>
          <w:tcPr>
            <w:tcW w:type="dxa" w:w="13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P-REV</w:t>
            </w:r>
          </w:p>
        </w:tc>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Pend</w:t>
            </w:r>
          </w:p>
        </w:tc>
        <w:tc>
          <w:tcPr>
            <w:tcW w:type="dxa" w:w="58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Held for manual review (category, duplicate, or fraud flag).</w:t>
            </w:r>
          </w:p>
        </w:tc>
      </w:tr>
    </w:tbl>
    <w:p>
      <w:pPr>
        <w:pStyle w:val="Heading1"/>
        <w:pBdr>
          <w:bottom w:val="single" w:color="BA0C2F" w:sz="6" w:space="4"/>
        </w:pBdr>
        <w:spacing w:after="160" w:before="360"/>
      </w:pPr>
      <w:r>
        <w:t xml:space="preserve">12. Category Codes and Decision Logic</w:t>
      </w:r>
    </w:p>
    <w:p>
      <w:pPr>
        <w:pStyle w:val="Heading2"/>
        <w:spacing w:after="120" w:before="240"/>
      </w:pPr>
      <w:r>
        <w:t xml:space="preserve">12.1 Category codes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Code</w:t>
            </w:r>
          </w:p>
        </w:tc>
        <w:tc>
          <w:tcPr>
            <w:tcW w:type="dxa" w:w="71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Category</w:t>
            </w:r>
          </w:p>
        </w:tc>
      </w:tr>
      <w:tr>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WSA-FIT</w:t>
            </w:r>
          </w:p>
        </w:tc>
        <w:tc>
          <w:tcPr>
            <w:tcW w:type="dxa" w:w="71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Fitness services and equipment</w:t>
            </w:r>
          </w:p>
        </w:tc>
      </w:tr>
      <w:tr>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WSA-NUT</w:t>
            </w:r>
          </w:p>
        </w:tc>
        <w:tc>
          <w:tcPr>
            <w:tcW w:type="dxa" w:w="71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Nutrition and health products and services</w:t>
            </w:r>
          </w:p>
        </w:tc>
      </w:tr>
      <w:tr>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WSA-MEN</w:t>
            </w:r>
          </w:p>
        </w:tc>
        <w:tc>
          <w:tcPr>
            <w:tcW w:type="dxa" w:w="71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Mental wellness</w:t>
            </w:r>
          </w:p>
        </w:tc>
      </w:tr>
      <w:tr>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WSA-FAM</w:t>
            </w:r>
          </w:p>
        </w:tc>
        <w:tc>
          <w:tcPr>
            <w:tcW w:type="dxa" w:w="71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Family and lifestyle (work-life balance)</w:t>
            </w:r>
          </w:p>
        </w:tc>
      </w:tr>
      <w:tr>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WSA-DEV</w:t>
            </w:r>
          </w:p>
        </w:tc>
        <w:tc>
          <w:tcPr>
            <w:tcW w:type="dxa" w:w="71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Professional and personal development</w:t>
            </w:r>
          </w:p>
        </w:tc>
      </w:tr>
      <w:tr>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WSA-SAF</w:t>
            </w:r>
          </w:p>
        </w:tc>
        <w:tc>
          <w:tcPr>
            <w:tcW w:type="dxa" w:w="71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Health, safety, and home office</w:t>
            </w:r>
          </w:p>
        </w:tc>
      </w:tr>
      <w:tr>
        <w:tc>
          <w:tcPr>
            <w:tcW w:type="dxa" w:w="22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WSA-ALT</w:t>
            </w:r>
          </w:p>
        </w:tc>
        <w:tc>
          <w:tcPr>
            <w:tcW w:type="dxa" w:w="71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Preventive and alternative services</w:t>
            </w:r>
          </w:p>
        </w:tc>
      </w:tr>
      <w:tr>
        <w:tc>
          <w:tcPr>
            <w:tcW w:type="dxa" w:w="22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WSA-FIN</w:t>
            </w:r>
          </w:p>
        </w:tc>
        <w:tc>
          <w:tcPr>
            <w:tcW w:type="dxa" w:w="71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Financial and professional services (where elected)</w:t>
            </w:r>
          </w:p>
        </w:tc>
      </w:tr>
    </w:tbl>
    <w:p>
      <w:pPr>
        <w:pStyle w:val="Heading2"/>
        <w:spacing w:after="120" w:before="240"/>
      </w:pPr>
      <w:r>
        <w:t xml:space="preserve">12.2 Decision logic, in sequence</w:t>
      </w:r>
    </w:p>
    <w:p>
      <w:pPr>
        <w:spacing w:after="140" w:line="276"/>
      </w:pPr>
      <w:r>
        <w:rPr>
          <w:color w:val="5B5B5B"/>
          <w:sz w:val="21"/>
          <w:szCs w:val="21"/>
        </w:rPr>
        <w:t xml:space="preserve">Read top to bottom. The first failing test determines the outcome.</w:t>
      </w:r>
    </w:p>
    <w:p>
      <w:pPr>
        <w:pStyle w:val="ListParagraph"/>
        <w:numPr>
          <w:ilvl w:val="0"/>
          <w:numId w:val="5"/>
        </w:numPr>
        <w:spacing w:after="80" w:line="268"/>
      </w:pPr>
      <w:r>
        <w:rPr>
          <w:color w:val="5B5B5B"/>
          <w:sz w:val="21"/>
          <w:szCs w:val="21"/>
        </w:rPr>
        <w:t xml:space="preserve">Eligible person with active coverage on the expense date? If no → Deny (D-PERS).</w:t>
      </w:r>
    </w:p>
    <w:p>
      <w:pPr>
        <w:pStyle w:val="ListParagraph"/>
        <w:numPr>
          <w:ilvl w:val="0"/>
          <w:numId w:val="5"/>
        </w:numPr>
        <w:spacing w:after="80" w:line="268"/>
      </w:pPr>
      <w:r>
        <w:rPr>
          <w:color w:val="5B5B5B"/>
          <w:sz w:val="21"/>
          <w:szCs w:val="21"/>
        </w:rPr>
        <w:t xml:space="preserve">Expense maps to an active WSA category for this plan? If no → Deny (D-EXP).</w:t>
      </w:r>
    </w:p>
    <w:p>
      <w:pPr>
        <w:pStyle w:val="ListParagraph"/>
        <w:numPr>
          <w:ilvl w:val="0"/>
          <w:numId w:val="5"/>
        </w:numPr>
        <w:spacing w:after="80" w:line="268"/>
      </w:pPr>
      <w:r>
        <w:rPr>
          <w:color w:val="5B5B5B"/>
          <w:sz w:val="21"/>
          <w:szCs w:val="21"/>
        </w:rPr>
        <w:t xml:space="preserve">Is the expense a CRA medical expense? If yes → Route to HCSA (R-HCSA).</w:t>
      </w:r>
    </w:p>
    <w:p>
      <w:pPr>
        <w:pStyle w:val="ListParagraph"/>
        <w:numPr>
          <w:ilvl w:val="0"/>
          <w:numId w:val="5"/>
        </w:numPr>
        <w:spacing w:after="80" w:line="268"/>
      </w:pPr>
      <w:r>
        <w:rPr>
          <w:color w:val="5B5B5B"/>
          <w:sz w:val="21"/>
          <w:szCs w:val="21"/>
        </w:rPr>
        <w:t xml:space="preserve">Incurred in the open benefit year or runout window? If no → Deny (D-PER).</w:t>
      </w:r>
    </w:p>
    <w:p>
      <w:pPr>
        <w:pStyle w:val="ListParagraph"/>
        <w:numPr>
          <w:ilvl w:val="0"/>
          <w:numId w:val="5"/>
        </w:numPr>
        <w:spacing w:after="80" w:line="268"/>
      </w:pPr>
      <w:r>
        <w:rPr>
          <w:color w:val="5B5B5B"/>
          <w:sz w:val="21"/>
          <w:szCs w:val="21"/>
        </w:rPr>
        <w:t xml:space="preserve">Valid itemized receipt and proof of payment in the claimant's name? If no → Pend (P-DOC), then Deny (D-DOC) if not cured.</w:t>
      </w:r>
    </w:p>
    <w:p>
      <w:pPr>
        <w:pStyle w:val="ListParagraph"/>
        <w:numPr>
          <w:ilvl w:val="0"/>
          <w:numId w:val="5"/>
        </w:numPr>
        <w:spacing w:after="80" w:line="268"/>
      </w:pPr>
      <w:r>
        <w:rPr>
          <w:color w:val="5B5B5B"/>
          <w:sz w:val="21"/>
          <w:szCs w:val="21"/>
        </w:rPr>
        <w:t xml:space="preserve">Passes duplicate and fraud screening? If flagged → Pend for review (P-REV) / escalate.</w:t>
      </w:r>
    </w:p>
    <w:p>
      <w:pPr>
        <w:pStyle w:val="ListParagraph"/>
        <w:numPr>
          <w:ilvl w:val="0"/>
          <w:numId w:val="5"/>
        </w:numPr>
        <w:spacing w:after="80" w:line="268"/>
      </w:pPr>
      <w:r>
        <w:rPr>
          <w:color w:val="5B5B5B"/>
          <w:sz w:val="21"/>
          <w:szCs w:val="21"/>
        </w:rPr>
        <w:t xml:space="preserve">Balance available? If zero → Deny (D-BAL); if partial → Approve partial (A-PART).</w:t>
      </w:r>
    </w:p>
    <w:p>
      <w:pPr>
        <w:pStyle w:val="ListParagraph"/>
        <w:numPr>
          <w:ilvl w:val="0"/>
          <w:numId w:val="5"/>
        </w:numPr>
        <w:spacing w:after="80" w:line="268"/>
      </w:pPr>
      <w:r>
        <w:rPr>
          <w:color w:val="5B5B5B"/>
          <w:sz w:val="21"/>
          <w:szCs w:val="21"/>
        </w:rPr>
        <w:t xml:space="preserve">Otherwise → Approve (A-OK) and flag for payroll tax.</w:t>
      </w:r>
    </w:p>
    <w:p>
      <w:pPr>
        <w:pStyle w:val="Heading1"/>
        <w:pBdr>
          <w:bottom w:val="single" w:color="BA0C2F" w:sz="6" w:space="4"/>
        </w:pBdr>
        <w:spacing w:after="160" w:before="360"/>
      </w:pPr>
      <w:r>
        <w:t xml:space="preserve">13. Fraud Indicators and Red Flags</w:t>
      </w:r>
    </w:p>
    <w:p>
      <w:pPr>
        <w:spacing w:after="140" w:line="276"/>
      </w:pPr>
      <w:r>
        <w:rPr>
          <w:color w:val="5B5B5B"/>
          <w:sz w:val="21"/>
          <w:szCs w:val="21"/>
        </w:rPr>
        <w:t xml:space="preserve">WSA fraud is real, costly, and prosecutable. Adjudicators are the first line of detection. Screen every claim and escalate anything suspicious rather than resolving it alone.</w:t>
      </w:r>
    </w:p>
    <w:p>
      <w:pPr>
        <w:pStyle w:val="Heading2"/>
        <w:spacing w:after="120" w:before="240"/>
      </w:pPr>
      <w:r>
        <w:t xml:space="preserve">13.1 Red flags to watch for</w:t>
      </w:r>
    </w:p>
    <w:p>
      <w:pPr>
        <w:pStyle w:val="ListParagraph"/>
        <w:numPr>
          <w:ilvl w:val="0"/>
          <w:numId w:val="2"/>
        </w:numPr>
        <w:spacing w:after="80" w:line="268"/>
      </w:pPr>
      <w:r>
        <w:rPr>
          <w:color w:val="5B5B5B"/>
          <w:sz w:val="21"/>
          <w:szCs w:val="21"/>
        </w:rPr>
        <w:t xml:space="preserve">Altered receipts, or inconsistent fonts, totals, or spacing within a receipt.</w:t>
      </w:r>
    </w:p>
    <w:p>
      <w:pPr>
        <w:pStyle w:val="ListParagraph"/>
        <w:numPr>
          <w:ilvl w:val="0"/>
          <w:numId w:val="2"/>
        </w:numPr>
        <w:spacing w:after="80" w:line="268"/>
      </w:pPr>
      <w:r>
        <w:rPr>
          <w:color w:val="5B5B5B"/>
          <w:sz w:val="21"/>
          <w:szCs w:val="21"/>
        </w:rPr>
        <w:t xml:space="preserve">Sequential or duplicate receipt numbers appearing across different members.</w:t>
      </w:r>
    </w:p>
    <w:p>
      <w:pPr>
        <w:pStyle w:val="ListParagraph"/>
        <w:numPr>
          <w:ilvl w:val="0"/>
          <w:numId w:val="2"/>
        </w:numPr>
        <w:spacing w:after="80" w:line="268"/>
      </w:pPr>
      <w:r>
        <w:rPr>
          <w:color w:val="5B5B5B"/>
          <w:sz w:val="21"/>
          <w:szCs w:val="21"/>
        </w:rPr>
        <w:t xml:space="preserve">Round-number receipts, or amounts exactly equal to the member's remaining balance.</w:t>
      </w:r>
    </w:p>
    <w:p>
      <w:pPr>
        <w:pStyle w:val="ListParagraph"/>
        <w:numPr>
          <w:ilvl w:val="0"/>
          <w:numId w:val="2"/>
        </w:numPr>
        <w:spacing w:after="80" w:line="268"/>
      </w:pPr>
      <w:r>
        <w:rPr>
          <w:color w:val="5B5B5B"/>
          <w:sz w:val="21"/>
          <w:szCs w:val="21"/>
        </w:rPr>
        <w:t xml:space="preserve">Vendors or providers known for inflated or kickback receipts.</w:t>
      </w:r>
    </w:p>
    <w:p>
      <w:pPr>
        <w:pStyle w:val="ListParagraph"/>
        <w:numPr>
          <w:ilvl w:val="0"/>
          <w:numId w:val="2"/>
        </w:numPr>
        <w:spacing w:after="80" w:line="268"/>
      </w:pPr>
      <w:r>
        <w:rPr>
          <w:color w:val="5B5B5B"/>
          <w:sz w:val="21"/>
          <w:szCs w:val="21"/>
        </w:rPr>
        <w:t xml:space="preserve">Year-end surges, or multiple claims submitted just before a termination date.</w:t>
      </w:r>
    </w:p>
    <w:p>
      <w:pPr>
        <w:pStyle w:val="ListParagraph"/>
        <w:numPr>
          <w:ilvl w:val="0"/>
          <w:numId w:val="2"/>
        </w:numPr>
        <w:spacing w:after="80" w:line="268"/>
      </w:pPr>
      <w:r>
        <w:rPr>
          <w:color w:val="5B5B5B"/>
          <w:sz w:val="21"/>
          <w:szCs w:val="21"/>
        </w:rPr>
        <w:t xml:space="preserve">A receipt in a non-eligible person's name, or a mismatch between the vendor type and the claimed category.</w:t>
      </w:r>
    </w:p>
    <w:p>
      <w:pPr>
        <w:pStyle w:val="ListParagraph"/>
        <w:numPr>
          <w:ilvl w:val="0"/>
          <w:numId w:val="2"/>
        </w:numPr>
        <w:spacing w:after="80" w:line="268"/>
      </w:pPr>
      <w:r>
        <w:rPr>
          <w:color w:val="5B5B5B"/>
          <w:sz w:val="21"/>
          <w:szCs w:val="21"/>
        </w:rPr>
        <w:t xml:space="preserve">The same receipt submitted to more than one account (WSA, HCSA, or health), or across plan years.</w:t>
      </w:r>
    </w:p>
    <w:p>
      <w:pPr>
        <w:pStyle w:val="Heading2"/>
        <w:spacing w:after="120" w:before="240"/>
      </w:pPr>
      <w:r>
        <w:t xml:space="preserve">13.2 Verification practices</w:t>
      </w:r>
    </w:p>
    <w:p>
      <w:pPr>
        <w:spacing w:after="140" w:line="276"/>
      </w:pPr>
      <w:r>
        <w:rPr>
          <w:color w:val="5B5B5B"/>
          <w:sz w:val="21"/>
          <w:szCs w:val="21"/>
        </w:rPr>
        <w:t xml:space="preserve">The insurer verifies receipts directly with vendors, runs random audits, and pools claims data across the industry to detect organised fraud. Adjudicators should assume that flagged receipts may be verified with the issuing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C" w:sz="1"/>
              <w:left w:val="single" w:color="BA0C2F" w:sz="18"/>
              <w:bottom w:val="single" w:color="FBECEC" w:sz="1"/>
              <w:right w:val="single" w:color="FBECEC" w:sz="1"/>
            </w:tcBorders>
            <w:shd w:fill="FBECEC" w:val="clear"/>
            <w:tcMar>
              <w:top w:type="dxa" w:w="110"/>
              <w:left w:type="dxa" w:w="160"/>
              <w:bottom w:type="dxa" w:w="110"/>
              <w:right w:type="dxa" w:w="160"/>
            </w:tcMar>
          </w:tcPr>
          <w:p>
            <w:pPr>
              <w:spacing w:after="60"/>
            </w:pPr>
            <w:r>
              <w:rPr>
                <w:b/>
                <w:bCs/>
                <w:color w:val="BA0C2F"/>
                <w:sz w:val="20"/>
                <w:szCs w:val="20"/>
              </w:rPr>
              <w:t xml:space="preserve">Why this matters — a real cautionary case</w:t>
            </w:r>
          </w:p>
          <w:p>
            <w:pPr>
              <w:spacing w:after="40" w:line="264"/>
            </w:pPr>
            <w:r>
              <w:rPr>
                <w:color w:val="3A3A3A"/>
                <w:sz w:val="19"/>
                <w:szCs w:val="19"/>
              </w:rPr>
              <w:t xml:space="preserve">In a well-documented Toronto transit fraud, an insurer paid roughly $5.6 million in paramedical claims tied to a single clinic over about three and a half years. More than 250 employees were dismissed or resigned, and the clinic operator was convicted of fraud over $5,000 and sentenced to two years in a federal penitentiary. Inflated and false wellness and paramedical receipts are not a victimless shortcut; they are prosecuted.</w:t>
            </w:r>
          </w:p>
        </w:tc>
      </w:tr>
    </w:tbl>
    <w:p>
      <w:pPr>
        <w:pStyle w:val="Heading2"/>
        <w:spacing w:after="120" w:before="240"/>
      </w:pPr>
      <w:r>
        <w:t xml:space="preserve">13.3 What to do with a flag</w:t>
      </w:r>
    </w:p>
    <w:p>
      <w:pPr>
        <w:pStyle w:val="ListParagraph"/>
        <w:numPr>
          <w:ilvl w:val="0"/>
          <w:numId w:val="6"/>
        </w:numPr>
        <w:spacing w:after="80" w:line="268"/>
      </w:pPr>
      <w:r>
        <w:rPr>
          <w:color w:val="5B5B5B"/>
          <w:sz w:val="21"/>
          <w:szCs w:val="21"/>
        </w:rPr>
        <w:t xml:space="preserve">Do not approve. Pend the claim (P-REV).</w:t>
      </w:r>
    </w:p>
    <w:p>
      <w:pPr>
        <w:pStyle w:val="ListParagraph"/>
        <w:numPr>
          <w:ilvl w:val="0"/>
          <w:numId w:val="6"/>
        </w:numPr>
        <w:spacing w:after="80" w:line="268"/>
      </w:pPr>
      <w:r>
        <w:rPr>
          <w:color w:val="5B5B5B"/>
          <w:sz w:val="21"/>
          <w:szCs w:val="21"/>
        </w:rPr>
        <w:t xml:space="preserve">Document the specific indicator observed, factually and without speculation about intent.</w:t>
      </w:r>
    </w:p>
    <w:p>
      <w:pPr>
        <w:pStyle w:val="ListParagraph"/>
        <w:numPr>
          <w:ilvl w:val="0"/>
          <w:numId w:val="6"/>
        </w:numPr>
        <w:spacing w:after="80" w:line="268"/>
      </w:pPr>
      <w:r>
        <w:rPr>
          <w:color w:val="5B5B5B"/>
          <w:sz w:val="21"/>
          <w:szCs w:val="21"/>
        </w:rPr>
        <w:t xml:space="preserve">Escalate to the Special Investigations Unit (SIU) through the standard referral path.</w:t>
      </w:r>
    </w:p>
    <w:p>
      <w:pPr>
        <w:pStyle w:val="ListParagraph"/>
        <w:numPr>
          <w:ilvl w:val="0"/>
          <w:numId w:val="6"/>
        </w:numPr>
        <w:spacing w:after="80" w:line="268"/>
      </w:pPr>
      <w:r>
        <w:rPr>
          <w:color w:val="5B5B5B"/>
          <w:sz w:val="21"/>
          <w:szCs w:val="21"/>
        </w:rPr>
        <w:t xml:space="preserve">Continue to handle the member's other claims professionally and neutrally while the review proceeds.</w:t>
      </w:r>
    </w:p>
    <w:p>
      <w:pPr>
        <w:pStyle w:val="Heading1"/>
        <w:pBdr>
          <w:bottom w:val="single" w:color="BA0C2F" w:sz="6" w:space="4"/>
        </w:pBdr>
        <w:spacing w:after="160" w:before="360"/>
      </w:pPr>
      <w:r>
        <w:t xml:space="preserve">14. Manual Review Triggers and Escalation</w:t>
      </w:r>
    </w:p>
    <w:p>
      <w:pPr>
        <w:pStyle w:val="Heading2"/>
        <w:spacing w:after="120" w:before="240"/>
      </w:pPr>
      <w:r>
        <w:t xml:space="preserve">14.1 Auto-adjudicate versus manual review</w:t>
      </w:r>
    </w:p>
    <w:p>
      <w:pPr>
        <w:pStyle w:val="ListParagraph"/>
        <w:numPr>
          <w:ilvl w:val="0"/>
          <w:numId w:val="2"/>
        </w:numPr>
        <w:spacing w:after="80" w:line="268"/>
      </w:pPr>
      <w:r>
        <w:rPr>
          <w:b/>
          <w:bCs/>
          <w:color w:val="222222"/>
          <w:sz w:val="21"/>
          <w:szCs w:val="21"/>
        </w:rPr>
        <w:t xml:space="preserve">Auto-adjudicate </w:t>
      </w:r>
      <w:r>
        <w:rPr>
          <w:color w:val="5B5B5B"/>
          <w:sz w:val="21"/>
          <w:szCs w:val="21"/>
        </w:rPr>
        <w:t xml:space="preserve">clean, in-category, in-balance claims with complete, valid documentation and no flags.</w:t>
      </w:r>
    </w:p>
    <w:p>
      <w:pPr>
        <w:pStyle w:val="ListParagraph"/>
        <w:numPr>
          <w:ilvl w:val="0"/>
          <w:numId w:val="2"/>
        </w:numPr>
        <w:spacing w:after="80" w:line="268"/>
      </w:pPr>
      <w:r>
        <w:rPr>
          <w:b/>
          <w:bCs/>
          <w:color w:val="222222"/>
          <w:sz w:val="21"/>
          <w:szCs w:val="21"/>
        </w:rPr>
        <w:t xml:space="preserve">Pend for manual review </w:t>
      </w:r>
      <w:r>
        <w:rPr>
          <w:color w:val="5B5B5B"/>
          <w:sz w:val="21"/>
          <w:szCs w:val="21"/>
        </w:rPr>
        <w:t xml:space="preserve">claims that are ambiguous in category, possibly a CRA medical expense, unclear on dependent eligibility, high in dollar value, poorly documented, possibly duplicate, or carrying any fraud flag.</w:t>
      </w:r>
    </w:p>
    <w:p>
      <w:pPr>
        <w:pStyle w:val="Heading2"/>
        <w:spacing w:after="120" w:before="240"/>
      </w:pPr>
      <w:r>
        <w:t xml:space="preserve">14.2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Issue</w:t>
            </w:r>
          </w:p>
        </w:tc>
        <w:tc>
          <w:tcPr>
            <w:tcW w:type="dxa" w:w="53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Escalate to</w:t>
            </w:r>
          </w:p>
        </w:tc>
      </w:tr>
      <w:tr>
        <w:tc>
          <w:tcPr>
            <w:tcW w:type="dxa" w:w="40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Suspected fraud or a confirmed red flag</w:t>
            </w:r>
          </w:p>
        </w:tc>
        <w:tc>
          <w:tcPr>
            <w:tcW w:type="dxa" w:w="5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Special Investigations Unit (SIU)</w:t>
            </w:r>
          </w:p>
        </w:tc>
      </w:tr>
      <w:tr>
        <w:tc>
          <w:tcPr>
            <w:tcW w:type="dxa" w:w="40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Whether an expense is a CRA medical expense / PHSP or tax characterization</w:t>
            </w:r>
          </w:p>
        </w:tc>
        <w:tc>
          <w:tcPr>
            <w:tcW w:type="dxa" w:w="53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Tax and Payroll team</w:t>
            </w:r>
          </w:p>
        </w:tc>
      </w:tr>
      <w:tr>
        <w:tc>
          <w:tcPr>
            <w:tcW w:type="dxa" w:w="40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Benefit interpretation or a category not clearly addressed by the booklet</w:t>
            </w:r>
          </w:p>
        </w:tc>
        <w:tc>
          <w:tcPr>
            <w:tcW w:type="dxa" w:w="5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Plan sponsor (employer) via the account manager</w:t>
            </w:r>
          </w:p>
        </w:tc>
      </w:tr>
      <w:tr>
        <w:tc>
          <w:tcPr>
            <w:tcW w:type="dxa" w:w="40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 privacy question or a possible breach</w:t>
            </w:r>
          </w:p>
        </w:tc>
        <w:tc>
          <w:tcPr>
            <w:tcW w:type="dxa" w:w="53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Privacy Officer</w:t>
            </w:r>
          </w:p>
        </w:tc>
      </w:tr>
      <w:tr>
        <w:tc>
          <w:tcPr>
            <w:tcW w:type="dxa" w:w="40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 member dispute that cannot be resolved at first level</w:t>
            </w:r>
          </w:p>
        </w:tc>
        <w:tc>
          <w:tcPr>
            <w:tcW w:type="dxa" w:w="53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Appeals (see Section 15)</w:t>
            </w:r>
          </w:p>
        </w:tc>
      </w:tr>
    </w:tbl>
    <w:p>
      <w:pPr>
        <w:pStyle w:val="Heading2"/>
        <w:spacing w:after="120" w:before="240"/>
      </w:pPr>
      <w:r>
        <w:t xml:space="preserve">14.3 Escalation thresholds (illustrative)</w:t>
      </w:r>
    </w:p>
    <w:p>
      <w:pPr>
        <w:pStyle w:val="ListParagraph"/>
        <w:numPr>
          <w:ilvl w:val="0"/>
          <w:numId w:val="2"/>
        </w:numPr>
        <w:spacing w:after="80" w:line="268"/>
      </w:pPr>
      <w:r>
        <w:rPr>
          <w:color w:val="5B5B5B"/>
          <w:sz w:val="21"/>
          <w:szCs w:val="21"/>
        </w:rPr>
        <w:t xml:space="preserve">Any altered receipt, any vendor with clustered identical receipts, or any claim matching a known scheme pattern → escalate to SIU immediately.</w:t>
      </w:r>
    </w:p>
    <w:p>
      <w:pPr>
        <w:pStyle w:val="ListParagraph"/>
        <w:numPr>
          <w:ilvl w:val="0"/>
          <w:numId w:val="2"/>
        </w:numPr>
        <w:spacing w:after="80" w:line="268"/>
      </w:pPr>
      <w:r>
        <w:rPr>
          <w:color w:val="5B5B5B"/>
          <w:sz w:val="21"/>
          <w:szCs w:val="21"/>
        </w:rPr>
        <w:t xml:space="preserve">Any single claim at or above an illustrative $1,000, or any item the adjudicator cannot confidently classify → route to senior review before payment.</w:t>
      </w:r>
    </w:p>
    <w:p>
      <w:pPr>
        <w:pStyle w:val="ListParagraph"/>
        <w:numPr>
          <w:ilvl w:val="0"/>
          <w:numId w:val="2"/>
        </w:numPr>
        <w:spacing w:after="80" w:line="268"/>
      </w:pPr>
      <w:r>
        <w:rPr>
          <w:color w:val="5B5B5B"/>
          <w:sz w:val="21"/>
          <w:szCs w:val="21"/>
        </w:rPr>
        <w:t xml:space="preserve">If more than roughly 5 to 10 percent of a plan's WSA claims are mis-routed medical expenses → flag to the plan team to tighten member communications.</w:t>
      </w:r>
    </w:p>
    <w:p>
      <w:pPr>
        <w:pStyle w:val="Heading1"/>
        <w:pBdr>
          <w:bottom w:val="single" w:color="BA0C2F" w:sz="6" w:space="4"/>
        </w:pBdr>
        <w:spacing w:after="160" w:before="360"/>
      </w:pPr>
      <w:r>
        <w:t xml:space="preserve">15. Appeals</w:t>
      </w:r>
    </w:p>
    <w:p>
      <w:pPr>
        <w:spacing w:after="140" w:line="276"/>
      </w:pPr>
      <w:r>
        <w:rPr>
          <w:color w:val="5B5B5B"/>
          <w:sz w:val="21"/>
          <w:szCs w:val="21"/>
        </w:rPr>
        <w:t xml:space="preserve">A member who disagrees with a decision may request a review. The appeals process gives a fair second look while keeping the governing contract as the final authority.</w:t>
      </w:r>
    </w:p>
    <w:p>
      <w:pPr>
        <w:pStyle w:val="ListParagraph"/>
        <w:numPr>
          <w:ilvl w:val="0"/>
          <w:numId w:val="7"/>
        </w:numPr>
        <w:spacing w:after="80" w:line="268"/>
      </w:pPr>
      <w:r>
        <w:rPr>
          <w:color w:val="5B5B5B"/>
          <w:sz w:val="21"/>
          <w:szCs w:val="21"/>
        </w:rPr>
        <w:t xml:space="preserve">The member submits a review request, with any additional documentation, within the plan's appeal window.</w:t>
      </w:r>
    </w:p>
    <w:p>
      <w:pPr>
        <w:pStyle w:val="ListParagraph"/>
        <w:numPr>
          <w:ilvl w:val="0"/>
          <w:numId w:val="7"/>
        </w:numPr>
        <w:spacing w:after="80" w:line="268"/>
      </w:pPr>
      <w:r>
        <w:rPr>
          <w:color w:val="5B5B5B"/>
          <w:sz w:val="21"/>
          <w:szCs w:val="21"/>
        </w:rPr>
        <w:t xml:space="preserve">A second-level adjudicator or appeals committee re-examines the claim against the documentation and the plan terms — independent of the original decision-maker.</w:t>
      </w:r>
    </w:p>
    <w:p>
      <w:pPr>
        <w:pStyle w:val="ListParagraph"/>
        <w:numPr>
          <w:ilvl w:val="0"/>
          <w:numId w:val="7"/>
        </w:numPr>
        <w:spacing w:after="80" w:line="268"/>
      </w:pPr>
      <w:r>
        <w:rPr>
          <w:color w:val="5B5B5B"/>
          <w:sz w:val="21"/>
          <w:szCs w:val="21"/>
        </w:rPr>
        <w:t xml:space="preserve">The reviewer confirms or revises the outcome and communicates the result with reasons.</w:t>
      </w:r>
    </w:p>
    <w:p>
      <w:pPr>
        <w:pStyle w:val="ListParagraph"/>
        <w:numPr>
          <w:ilvl w:val="0"/>
          <w:numId w:val="7"/>
        </w:numPr>
        <w:spacing w:after="80" w:line="268"/>
      </w:pPr>
      <w:r>
        <w:rPr>
          <w:color w:val="5B5B5B"/>
          <w:sz w:val="21"/>
          <w:szCs w:val="21"/>
        </w:rPr>
        <w:t xml:space="preserve">Final benefit interpretation rests with the group contract. The booklet and contract govern over any summary, including this manual.</w:t>
      </w:r>
    </w:p>
    <w:p>
      <w:pPr>
        <w:pStyle w:val="Heading1"/>
        <w:pBdr>
          <w:bottom w:val="single" w:color="BA0C2F" w:sz="6" w:space="4"/>
        </w:pBdr>
        <w:spacing w:after="160" w:before="360"/>
      </w:pPr>
      <w:r>
        <w:t xml:space="preserve">16. Privacy and Handling of Member Information</w:t>
      </w:r>
    </w:p>
    <w:p>
      <w:pPr>
        <w:spacing w:after="140" w:line="276"/>
      </w:pPr>
      <w:r>
        <w:rPr>
          <w:color w:val="5B5B5B"/>
          <w:sz w:val="21"/>
          <w:szCs w:val="21"/>
        </w:rPr>
        <w:t xml:space="preserve">WSA claims contain personal information governed by federal and provincial privacy law, including PIPEDA and substantially similar provincial statutes (Alberta PIPA, BC PIPA, Quebec Law 25), and Ontario PHIPA where a health-information custodian is involved.</w:t>
      </w:r>
    </w:p>
    <w:p>
      <w:pPr>
        <w:pStyle w:val="Heading2"/>
        <w:spacing w:after="120" w:before="240"/>
      </w:pPr>
      <w:r>
        <w:t xml:space="preserve">16.1 Core obligations</w:t>
      </w:r>
    </w:p>
    <w:p>
      <w:pPr>
        <w:pStyle w:val="ListParagraph"/>
        <w:numPr>
          <w:ilvl w:val="0"/>
          <w:numId w:val="2"/>
        </w:numPr>
        <w:spacing w:after="80" w:line="268"/>
      </w:pPr>
      <w:r>
        <w:rPr>
          <w:b/>
          <w:bCs/>
          <w:color w:val="222222"/>
          <w:sz w:val="21"/>
          <w:szCs w:val="21"/>
        </w:rPr>
        <w:t xml:space="preserve">Collect with consent and purpose. </w:t>
      </w:r>
      <w:r>
        <w:rPr>
          <w:color w:val="5B5B5B"/>
          <w:sz w:val="21"/>
          <w:szCs w:val="21"/>
        </w:rPr>
        <w:t xml:space="preserve">Collect only what is needed to assess the claim and administer the plan.</w:t>
      </w:r>
    </w:p>
    <w:p>
      <w:pPr>
        <w:pStyle w:val="ListParagraph"/>
        <w:numPr>
          <w:ilvl w:val="0"/>
          <w:numId w:val="2"/>
        </w:numPr>
        <w:spacing w:after="80" w:line="268"/>
      </w:pPr>
      <w:r>
        <w:rPr>
          <w:b/>
          <w:bCs/>
          <w:color w:val="222222"/>
          <w:sz w:val="21"/>
          <w:szCs w:val="21"/>
        </w:rPr>
        <w:t xml:space="preserve">Limit use and disclosure. </w:t>
      </w:r>
      <w:r>
        <w:rPr>
          <w:color w:val="5B5B5B"/>
          <w:sz w:val="21"/>
          <w:szCs w:val="21"/>
        </w:rPr>
        <w:t xml:space="preserve">Use and share information only for the purpose collected, strictly on a need-to-know basis.</w:t>
      </w:r>
    </w:p>
    <w:p>
      <w:pPr>
        <w:pStyle w:val="ListParagraph"/>
        <w:numPr>
          <w:ilvl w:val="0"/>
          <w:numId w:val="2"/>
        </w:numPr>
        <w:spacing w:after="80" w:line="268"/>
      </w:pPr>
      <w:r>
        <w:rPr>
          <w:b/>
          <w:bCs/>
          <w:color w:val="222222"/>
          <w:sz w:val="21"/>
          <w:szCs w:val="21"/>
        </w:rPr>
        <w:t xml:space="preserve">Safeguard. </w:t>
      </w:r>
      <w:r>
        <w:rPr>
          <w:color w:val="5B5B5B"/>
          <w:sz w:val="21"/>
          <w:szCs w:val="21"/>
        </w:rPr>
        <w:t xml:space="preserve">Route member data through secure channels and protect it against unauthorized access.</w:t>
      </w:r>
    </w:p>
    <w:p>
      <w:pPr>
        <w:pStyle w:val="ListParagraph"/>
        <w:numPr>
          <w:ilvl w:val="0"/>
          <w:numId w:val="2"/>
        </w:numPr>
        <w:spacing w:after="80" w:line="268"/>
      </w:pPr>
      <w:r>
        <w:rPr>
          <w:b/>
          <w:bCs/>
          <w:color w:val="222222"/>
          <w:sz w:val="21"/>
          <w:szCs w:val="21"/>
        </w:rPr>
        <w:t xml:space="preserve">Retain only as needed. </w:t>
      </w:r>
      <w:r>
        <w:rPr>
          <w:color w:val="5B5B5B"/>
          <w:sz w:val="21"/>
          <w:szCs w:val="21"/>
        </w:rPr>
        <w:t xml:space="preserve">Keep records only as long as necessary for the plan and legal requirements.</w:t>
      </w:r>
    </w:p>
    <w:p>
      <w:pPr>
        <w:pStyle w:val="ListParagraph"/>
        <w:numPr>
          <w:ilvl w:val="0"/>
          <w:numId w:val="2"/>
        </w:numPr>
        <w:spacing w:after="80" w:line="268"/>
      </w:pPr>
      <w:r>
        <w:rPr>
          <w:b/>
          <w:bCs/>
          <w:color w:val="222222"/>
          <w:sz w:val="21"/>
          <w:szCs w:val="21"/>
        </w:rPr>
        <w:t xml:space="preserve">Provide access and correction. </w:t>
      </w:r>
      <w:r>
        <w:rPr>
          <w:color w:val="5B5B5B"/>
          <w:sz w:val="21"/>
          <w:szCs w:val="21"/>
        </w:rPr>
        <w:t xml:space="preserve">Honour member requests to access and correct their information through the proper process.</w:t>
      </w:r>
    </w:p>
    <w:p>
      <w:pPr>
        <w:pStyle w:val="Heading2"/>
        <w:spacing w:after="120" w:before="240"/>
      </w:pPr>
      <w:r>
        <w:t xml:space="preserve">16.2 Dependent claims and the plan member</w:t>
      </w:r>
    </w:p>
    <w:p>
      <w:pPr>
        <w:spacing w:after="140" w:line="276"/>
      </w:pPr>
      <w:r>
        <w:rPr>
          <w:color w:val="5B5B5B"/>
          <w:sz w:val="21"/>
          <w:szCs w:val="21"/>
        </w:rPr>
        <w:t xml:space="preserve">Because the plan member is responsible for all claims under their membership, including a dependent's, disclosing a dependent's claim information to the member generally does not breach privacy law. Even so, share only what is necessary and route the rest appropriately.</w:t>
      </w:r>
    </w:p>
    <w:p>
      <w:pPr>
        <w:pStyle w:val="Heading2"/>
        <w:spacing w:after="120" w:before="240"/>
      </w:pPr>
      <w:r>
        <w:t xml:space="preserve">16.3 Breach handling</w:t>
      </w:r>
    </w:p>
    <w:p>
      <w:pPr>
        <w:spacing w:after="140" w:line="276"/>
      </w:pPr>
      <w:r>
        <w:rPr>
          <w:color w:val="5B5B5B"/>
          <w:sz w:val="21"/>
          <w:szCs w:val="21"/>
        </w:rPr>
        <w:t xml:space="preserve">Report any incident that poses a real risk of significant harm to the member to the Privacy Officer without delay, following the insurer's breach-response procedure and applicable regulatory reporting obligations.</w:t>
      </w:r>
    </w:p>
    <w:p>
      <w:pPr>
        <w:pStyle w:val="Heading1"/>
        <w:pBdr>
          <w:bottom w:val="single" w:color="BA0C2F" w:sz="6" w:space="4"/>
        </w:pBdr>
        <w:spacing w:after="160" w:before="360"/>
      </w:pPr>
      <w:r>
        <w:t xml:space="preserve">17. Service Levels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Claim path</w:t>
            </w:r>
          </w:p>
        </w:tc>
        <w:tc>
          <w:tcPr>
            <w:tcW w:type="dxa" w:w="37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Target turnaround</w:t>
            </w:r>
          </w:p>
        </w:tc>
      </w:tr>
      <w:tr>
        <w:tc>
          <w:tcPr>
            <w:tcW w:type="dxa" w:w="56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Auto-adjudicated online claim (clean, in-balance, valid documentation)</w:t>
            </w:r>
          </w:p>
        </w:tc>
        <w:tc>
          <w:tcPr>
            <w:tcW w:type="dxa" w:w="37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Real time to 48 hours</w:t>
            </w:r>
          </w:p>
        </w:tc>
      </w:tr>
      <w:tr>
        <w:tc>
          <w:tcPr>
            <w:tcW w:type="dxa" w:w="56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Manual review (category, documentation, duplicate, or flag)</w:t>
            </w:r>
          </w:p>
        </w:tc>
        <w:tc>
          <w:tcPr>
            <w:tcW w:type="dxa" w:w="37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2 to 5 business days</w:t>
            </w:r>
          </w:p>
        </w:tc>
      </w:tr>
      <w:tr>
        <w:tc>
          <w:tcPr>
            <w:tcW w:type="dxa" w:w="56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Paper claim</w:t>
            </w:r>
          </w:p>
        </w:tc>
        <w:tc>
          <w:tcPr>
            <w:tcW w:type="dxa" w:w="37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Longer than digital; per operations standard</w:t>
            </w:r>
          </w:p>
        </w:tc>
      </w:tr>
      <w:tr>
        <w:tc>
          <w:tcPr>
            <w:tcW w:type="dxa" w:w="56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Appeal / second-level review</w:t>
            </w:r>
          </w:p>
        </w:tc>
        <w:tc>
          <w:tcPr>
            <w:tcW w:type="dxa" w:w="37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Per the plan's appeal-window commitment</w:t>
            </w:r>
          </w:p>
        </w:tc>
      </w:tr>
      <w:tr>
        <w:tc>
          <w:tcPr>
            <w:tcW w:type="dxa" w:w="56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Payment release</w:t>
            </w:r>
          </w:p>
        </w:tc>
        <w:tc>
          <w:tcPr>
            <w:tcW w:type="dxa" w:w="37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By electronic funds transfer or cheque, per payment cycle</w:t>
            </w:r>
          </w:p>
        </w:tc>
      </w:tr>
    </w:tbl>
    <w:p>
      <w:pPr>
        <w:spacing w:after="140" w:line="276"/>
      </w:pPr>
      <w:r>
        <w:rPr>
          <w:color w:val="5B5B5B"/>
          <w:sz w:val="21"/>
          <w:szCs w:val="21"/>
        </w:rPr>
        <w:t xml:space="preserve">These targets are illustrative. Apply the operations standard in force for the specific plan and channel.</w:t>
      </w:r>
    </w:p>
    <w:p>
      <w:pPr>
        <w:pStyle w:val="Heading1"/>
        <w:pBdr>
          <w:bottom w:val="single" w:color="BA0C2F" w:sz="6" w:space="4"/>
        </w:pBdr>
        <w:spacing w:after="160" w:before="360"/>
      </w:pPr>
      <w:r>
        <w:t xml:space="preserve">18. Worked Examples</w:t>
      </w:r>
    </w:p>
    <w:p>
      <w:pPr>
        <w:spacing w:after="140" w:line="276"/>
      </w:pPr>
      <w:r>
        <w:rPr>
          <w:color w:val="5B5B5B"/>
          <w:sz w:val="21"/>
          <w:szCs w:val="21"/>
        </w:rPr>
        <w:t xml:space="preserve">Each example applies the three-gate test and the decision logic. Codes are illustrative.</w:t>
      </w:r>
    </w:p>
    <w:p>
      <w:pPr>
        <w:pStyle w:val="Heading3"/>
        <w:spacing w:after="100" w:before="180"/>
      </w:pPr>
      <w:r>
        <w:t xml:space="preserve">Example 1</w:t>
      </w:r>
    </w:p>
    <w:p>
      <w:pPr>
        <w:spacing w:after="140" w:line="276"/>
      </w:pPr>
      <w:r>
        <w:rPr>
          <w:b/>
          <w:bCs/>
          <w:color w:val="222222"/>
          <w:sz w:val="21"/>
          <w:szCs w:val="21"/>
        </w:rPr>
        <w:t xml:space="preserve">Scenario. </w:t>
      </w:r>
      <w:r>
        <w:rPr>
          <w:color w:val="5B5B5B"/>
          <w:sz w:val="21"/>
          <w:szCs w:val="21"/>
        </w:rPr>
        <w:t xml:space="preserve">An active employee, past the waiting period, claims a $90 annual gym membership with an itemized, paid-in-full receipt in their name. Balance available is $750.</w:t>
      </w:r>
    </w:p>
    <w:p>
      <w:pPr>
        <w:pStyle w:val="ListParagraph"/>
        <w:numPr>
          <w:ilvl w:val="0"/>
          <w:numId w:val="2"/>
        </w:numPr>
        <w:spacing w:after="80" w:line="268"/>
      </w:pPr>
      <w:r>
        <w:rPr>
          <w:color w:val="5B5B5B"/>
          <w:sz w:val="21"/>
          <w:szCs w:val="21"/>
        </w:rPr>
        <w:t xml:space="preserve">Gate 1 — eligible person with active coverage: pass.</w:t>
      </w:r>
    </w:p>
    <w:p>
      <w:pPr>
        <w:pStyle w:val="ListParagraph"/>
        <w:numPr>
          <w:ilvl w:val="0"/>
          <w:numId w:val="2"/>
        </w:numPr>
        <w:spacing w:after="80" w:line="268"/>
      </w:pPr>
      <w:r>
        <w:rPr>
          <w:color w:val="5B5B5B"/>
          <w:sz w:val="21"/>
          <w:szCs w:val="21"/>
        </w:rPr>
        <w:t xml:space="preserve">Gate 2 — fitness membership (WSA-FIT), in-period, and not a medical expense: pass.</w:t>
      </w:r>
    </w:p>
    <w:p>
      <w:pPr>
        <w:pStyle w:val="ListParagraph"/>
        <w:numPr>
          <w:ilvl w:val="0"/>
          <w:numId w:val="2"/>
        </w:numPr>
        <w:spacing w:after="80" w:line="268"/>
      </w:pPr>
      <w:r>
        <w:rPr>
          <w:color w:val="5B5B5B"/>
          <w:sz w:val="21"/>
          <w:szCs w:val="21"/>
        </w:rPr>
        <w:t xml:space="preserve">Gate 3 — itemized receipt, paid in full, claimant named: pass.</w:t>
      </w:r>
    </w:p>
    <w:p>
      <w:pPr>
        <w:pStyle w:val="ListParagraph"/>
        <w:numPr>
          <w:ilvl w:val="0"/>
          <w:numId w:val="2"/>
        </w:numPr>
        <w:spacing w:after="80" w:line="268"/>
      </w:pPr>
      <w:r>
        <w:rPr>
          <w:color w:val="5B5B5B"/>
          <w:sz w:val="21"/>
          <w:szCs w:val="21"/>
        </w:rPr>
        <w:t xml:space="preserve">Balance: $750 available, covers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C" w:sz="1"/>
              <w:left w:val="single" w:color="2E7D46" w:sz="18"/>
              <w:bottom w:val="single" w:color="E8F3EC" w:sz="1"/>
              <w:right w:val="single" w:color="E8F3EC" w:sz="1"/>
            </w:tcBorders>
            <w:shd w:fill="E8F3EC" w:val="clear"/>
            <w:tcMar>
              <w:top w:type="dxa" w:w="110"/>
              <w:left w:type="dxa" w:w="160"/>
              <w:bottom w:type="dxa" w:w="110"/>
              <w:right w:type="dxa" w:w="160"/>
            </w:tcMar>
          </w:tcPr>
          <w:p>
            <w:pPr>
              <w:spacing w:after="60"/>
            </w:pPr>
            <w:r>
              <w:rPr>
                <w:b/>
                <w:bCs/>
                <w:color w:val="2E7D46"/>
                <w:sz w:val="20"/>
                <w:szCs w:val="20"/>
              </w:rPr>
              <w:t xml:space="preserve">Outcome</w:t>
            </w:r>
          </w:p>
          <w:p>
            <w:pPr>
              <w:spacing w:after="40" w:line="264"/>
            </w:pPr>
            <w:r>
              <w:rPr>
                <w:color w:val="3A3A3A"/>
                <w:sz w:val="19"/>
                <w:szCs w:val="19"/>
              </w:rPr>
              <w:t xml:space="preserve">Approve $90 (A-OK) and flag for payroll tax. Remaining balance $660.</w:t>
            </w:r>
          </w:p>
        </w:tc>
      </w:tr>
    </w:tbl>
    <w:p>
      <w:pPr>
        <w:pStyle w:val="Heading3"/>
        <w:spacing w:after="100" w:before="180"/>
      </w:pPr>
      <w:r>
        <w:t xml:space="preserve">Example 2</w:t>
      </w:r>
    </w:p>
    <w:p>
      <w:pPr>
        <w:spacing w:after="140" w:line="276"/>
      </w:pPr>
      <w:r>
        <w:rPr>
          <w:b/>
          <w:bCs/>
          <w:color w:val="222222"/>
          <w:sz w:val="21"/>
          <w:szCs w:val="21"/>
        </w:rPr>
        <w:t xml:space="preserve">Scenario. </w:t>
      </w:r>
      <w:r>
        <w:rPr>
          <w:color w:val="5B5B5B"/>
          <w:sz w:val="21"/>
          <w:szCs w:val="21"/>
        </w:rPr>
        <w:t xml:space="preserve">A member submits a $120 receipt for physiotherapy, listing it under fitness.</w:t>
      </w:r>
    </w:p>
    <w:p>
      <w:pPr>
        <w:pStyle w:val="ListParagraph"/>
        <w:numPr>
          <w:ilvl w:val="0"/>
          <w:numId w:val="2"/>
        </w:numPr>
        <w:spacing w:after="80" w:line="268"/>
      </w:pPr>
      <w:r>
        <w:rPr>
          <w:color w:val="5B5B5B"/>
          <w:sz w:val="21"/>
          <w:szCs w:val="21"/>
        </w:rPr>
        <w:t xml:space="preserve">Gate 1 — eligible person: pass.</w:t>
      </w:r>
    </w:p>
    <w:p>
      <w:pPr>
        <w:pStyle w:val="ListParagraph"/>
        <w:numPr>
          <w:ilvl w:val="0"/>
          <w:numId w:val="2"/>
        </w:numPr>
        <w:spacing w:after="80" w:line="268"/>
      </w:pPr>
      <w:r>
        <w:rPr>
          <w:color w:val="5B5B5B"/>
          <w:sz w:val="21"/>
          <w:szCs w:val="21"/>
        </w:rPr>
        <w:t xml:space="preserve">Gate 2 — routing question: physiotherapy is a CRA medical expense. It is not a WSA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Outcome</w:t>
            </w:r>
          </w:p>
          <w:p>
            <w:pPr>
              <w:spacing w:after="40" w:line="264"/>
            </w:pPr>
            <w:r>
              <w:rPr>
                <w:color w:val="3A3A3A"/>
                <w:sz w:val="19"/>
                <w:szCs w:val="19"/>
              </w:rPr>
              <w:t xml:space="preserve">Do not pay from the WSA. Route to extended health / HCSA (R-HCSA) and tell the member where it belongs.</w:t>
            </w:r>
          </w:p>
        </w:tc>
      </w:tr>
    </w:tbl>
    <w:p>
      <w:pPr>
        <w:pStyle w:val="Heading3"/>
        <w:spacing w:after="100" w:before="180"/>
      </w:pPr>
      <w:r>
        <w:t xml:space="preserve">Example 3</w:t>
      </w:r>
    </w:p>
    <w:p>
      <w:pPr>
        <w:spacing w:after="140" w:line="276"/>
      </w:pPr>
      <w:r>
        <w:rPr>
          <w:b/>
          <w:bCs/>
          <w:color w:val="222222"/>
          <w:sz w:val="21"/>
          <w:szCs w:val="21"/>
        </w:rPr>
        <w:t xml:space="preserve">Scenario. </w:t>
      </w:r>
      <w:r>
        <w:rPr>
          <w:color w:val="5B5B5B"/>
          <w:sz w:val="21"/>
          <w:szCs w:val="21"/>
        </w:rPr>
        <w:t xml:space="preserve">A member claims $200 for a weekend wellness retreat. The receipt itemizes $140 for the program and $60 for hotel accommodation.</w:t>
      </w:r>
    </w:p>
    <w:p>
      <w:pPr>
        <w:pStyle w:val="ListParagraph"/>
        <w:numPr>
          <w:ilvl w:val="0"/>
          <w:numId w:val="2"/>
        </w:numPr>
        <w:spacing w:after="80" w:line="268"/>
      </w:pPr>
      <w:r>
        <w:rPr>
          <w:color w:val="5B5B5B"/>
          <w:sz w:val="21"/>
          <w:szCs w:val="21"/>
        </w:rPr>
        <w:t xml:space="preserve">Gate 1 — eligible person: pass.</w:t>
      </w:r>
    </w:p>
    <w:p>
      <w:pPr>
        <w:pStyle w:val="ListParagraph"/>
        <w:numPr>
          <w:ilvl w:val="0"/>
          <w:numId w:val="2"/>
        </w:numPr>
        <w:spacing w:after="80" w:line="268"/>
      </w:pPr>
      <w:r>
        <w:rPr>
          <w:color w:val="5B5B5B"/>
          <w:sz w:val="21"/>
          <w:szCs w:val="21"/>
        </w:rPr>
        <w:t xml:space="preserve">Gate 2 — the program fee is eligible (WSA-MEN); accommodation is excluded.</w:t>
      </w:r>
    </w:p>
    <w:p>
      <w:pPr>
        <w:pStyle w:val="ListParagraph"/>
        <w:numPr>
          <w:ilvl w:val="0"/>
          <w:numId w:val="2"/>
        </w:numPr>
        <w:spacing w:after="80" w:line="268"/>
      </w:pPr>
      <w:r>
        <w:rPr>
          <w:color w:val="5B5B5B"/>
          <w:sz w:val="21"/>
          <w:szCs w:val="21"/>
        </w:rPr>
        <w:t xml:space="preserve">Gate 3 — itemized receipt allows the split: pass for the eligible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C" w:sz="1"/>
              <w:left w:val="single" w:color="2E7D46" w:sz="18"/>
              <w:bottom w:val="single" w:color="E8F3EC" w:sz="1"/>
              <w:right w:val="single" w:color="E8F3EC" w:sz="1"/>
            </w:tcBorders>
            <w:shd w:fill="E8F3EC" w:val="clear"/>
            <w:tcMar>
              <w:top w:type="dxa" w:w="110"/>
              <w:left w:type="dxa" w:w="160"/>
              <w:bottom w:type="dxa" w:w="110"/>
              <w:right w:type="dxa" w:w="160"/>
            </w:tcMar>
          </w:tcPr>
          <w:p>
            <w:pPr>
              <w:spacing w:after="60"/>
            </w:pPr>
            <w:r>
              <w:rPr>
                <w:b/>
                <w:bCs/>
                <w:color w:val="2E7D46"/>
                <w:sz w:val="20"/>
                <w:szCs w:val="20"/>
              </w:rPr>
              <w:t xml:space="preserve">Outcome</w:t>
            </w:r>
          </w:p>
          <w:p>
            <w:pPr>
              <w:spacing w:after="40" w:line="264"/>
            </w:pPr>
            <w:r>
              <w:rPr>
                <w:color w:val="3A3A3A"/>
                <w:sz w:val="19"/>
                <w:szCs w:val="19"/>
              </w:rPr>
              <w:t xml:space="preserve">Approve $140 program fee; deny $60 accommodation (A-PART, with D-EXP on the remainder).</w:t>
            </w:r>
          </w:p>
        </w:tc>
      </w:tr>
    </w:tbl>
    <w:p>
      <w:pPr>
        <w:pStyle w:val="Heading3"/>
        <w:spacing w:after="100" w:before="180"/>
      </w:pPr>
      <w:r>
        <w:t xml:space="preserve">Example 4</w:t>
      </w:r>
    </w:p>
    <w:p>
      <w:pPr>
        <w:spacing w:after="140" w:line="276"/>
      </w:pPr>
      <w:r>
        <w:rPr>
          <w:b/>
          <w:bCs/>
          <w:color w:val="222222"/>
          <w:sz w:val="21"/>
          <w:szCs w:val="21"/>
        </w:rPr>
        <w:t xml:space="preserve">Scenario. </w:t>
      </w:r>
      <w:r>
        <w:rPr>
          <w:color w:val="5B5B5B"/>
          <w:sz w:val="21"/>
          <w:szCs w:val="21"/>
        </w:rPr>
        <w:t xml:space="preserve">A member submits a $300 receipt with an inconsistent font in the total line and a receipt number identical to one already seen from a different member this week.</w:t>
      </w:r>
    </w:p>
    <w:p>
      <w:pPr>
        <w:pStyle w:val="ListParagraph"/>
        <w:numPr>
          <w:ilvl w:val="0"/>
          <w:numId w:val="2"/>
        </w:numPr>
        <w:spacing w:after="80" w:line="268"/>
      </w:pPr>
      <w:r>
        <w:rPr>
          <w:color w:val="5B5B5B"/>
          <w:sz w:val="21"/>
          <w:szCs w:val="21"/>
        </w:rPr>
        <w:t xml:space="preserve">Gate 1 — eligible person: pass.</w:t>
      </w:r>
    </w:p>
    <w:p>
      <w:pPr>
        <w:pStyle w:val="ListParagraph"/>
        <w:numPr>
          <w:ilvl w:val="0"/>
          <w:numId w:val="2"/>
        </w:numPr>
        <w:spacing w:after="80" w:line="268"/>
      </w:pPr>
      <w:r>
        <w:rPr>
          <w:color w:val="5B5B5B"/>
          <w:sz w:val="21"/>
          <w:szCs w:val="21"/>
        </w:rPr>
        <w:t xml:space="preserve">Screening — altered-receipt and duplicate-number indicators both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C" w:sz="1"/>
              <w:left w:val="single" w:color="BA0C2F" w:sz="18"/>
              <w:bottom w:val="single" w:color="FBECEC" w:sz="1"/>
              <w:right w:val="single" w:color="FBECEC" w:sz="1"/>
            </w:tcBorders>
            <w:shd w:fill="FBECEC" w:val="clear"/>
            <w:tcMar>
              <w:top w:type="dxa" w:w="110"/>
              <w:left w:type="dxa" w:w="160"/>
              <w:bottom w:type="dxa" w:w="110"/>
              <w:right w:type="dxa" w:w="160"/>
            </w:tcMar>
          </w:tcPr>
          <w:p>
            <w:pPr>
              <w:spacing w:after="60"/>
            </w:pPr>
            <w:r>
              <w:rPr>
                <w:b/>
                <w:bCs/>
                <w:color w:val="BA0C2F"/>
                <w:sz w:val="20"/>
                <w:szCs w:val="20"/>
              </w:rPr>
              <w:t xml:space="preserve">Outcome</w:t>
            </w:r>
          </w:p>
          <w:p>
            <w:pPr>
              <w:spacing w:after="40" w:line="264"/>
            </w:pPr>
            <w:r>
              <w:rPr>
                <w:color w:val="3A3A3A"/>
                <w:sz w:val="19"/>
                <w:szCs w:val="19"/>
              </w:rPr>
              <w:t xml:space="preserve">Do not approve. Pend for review (P-REV), document the indicators, and escalate to the SIU.</w:t>
            </w:r>
          </w:p>
        </w:tc>
      </w:tr>
    </w:tbl>
    <w:p>
      <w:pPr>
        <w:pStyle w:val="Heading3"/>
        <w:spacing w:after="100" w:before="180"/>
      </w:pPr>
      <w:r>
        <w:t xml:space="preserve">Example 5</w:t>
      </w:r>
    </w:p>
    <w:p>
      <w:pPr>
        <w:spacing w:after="140" w:line="276"/>
      </w:pPr>
      <w:r>
        <w:rPr>
          <w:b/>
          <w:bCs/>
          <w:color w:val="222222"/>
          <w:sz w:val="21"/>
          <w:szCs w:val="21"/>
        </w:rPr>
        <w:t xml:space="preserve">Scenario. </w:t>
      </w:r>
      <w:r>
        <w:rPr>
          <w:color w:val="5B5B5B"/>
          <w:sz w:val="21"/>
          <w:szCs w:val="21"/>
        </w:rPr>
        <w:t xml:space="preserve">On the last day of employment, a member submits four claims totalling $740 against a $750 balance, three of them dated within the past week, one with only a credit-card slip and no itemized receipt.</w:t>
      </w:r>
    </w:p>
    <w:p>
      <w:pPr>
        <w:pStyle w:val="ListParagraph"/>
        <w:numPr>
          <w:ilvl w:val="0"/>
          <w:numId w:val="2"/>
        </w:numPr>
        <w:spacing w:after="80" w:line="268"/>
      </w:pPr>
      <w:r>
        <w:rPr>
          <w:color w:val="5B5B5B"/>
          <w:sz w:val="21"/>
          <w:szCs w:val="21"/>
        </w:rPr>
        <w:t xml:space="preserve">Gate 1 — coverage active on the expense dates: confirm each date is on or before the coverage end date.</w:t>
      </w:r>
    </w:p>
    <w:p>
      <w:pPr>
        <w:pStyle w:val="ListParagraph"/>
        <w:numPr>
          <w:ilvl w:val="0"/>
          <w:numId w:val="2"/>
        </w:numPr>
        <w:spacing w:after="80" w:line="268"/>
      </w:pPr>
      <w:r>
        <w:rPr>
          <w:color w:val="5B5B5B"/>
          <w:sz w:val="21"/>
          <w:szCs w:val="21"/>
        </w:rPr>
        <w:t xml:space="preserve">Screening — pre-termination surge is a red flag; review carefully.</w:t>
      </w:r>
    </w:p>
    <w:p>
      <w:pPr>
        <w:pStyle w:val="ListParagraph"/>
        <w:numPr>
          <w:ilvl w:val="0"/>
          <w:numId w:val="2"/>
        </w:numPr>
        <w:spacing w:after="80" w:line="268"/>
      </w:pPr>
      <w:r>
        <w:rPr>
          <w:color w:val="5B5B5B"/>
          <w:sz w:val="21"/>
          <w:szCs w:val="21"/>
        </w:rPr>
        <w:t xml:space="preserve">Gate 3 — the credit-card-slip claim lacks itemization.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838271" w:sz="18"/>
              <w:bottom w:val="single" w:color="FDF6E3" w:sz="1"/>
              <w:right w:val="single" w:color="FDF6E3" w:sz="1"/>
            </w:tcBorders>
            <w:shd w:fill="FDF6E3" w:val="clear"/>
            <w:tcMar>
              <w:top w:type="dxa" w:w="110"/>
              <w:left w:type="dxa" w:w="160"/>
              <w:bottom w:type="dxa" w:w="110"/>
              <w:right w:type="dxa" w:w="160"/>
            </w:tcMar>
          </w:tcPr>
          <w:p>
            <w:pPr>
              <w:spacing w:after="60"/>
            </w:pPr>
            <w:r>
              <w:rPr>
                <w:b/>
                <w:bCs/>
                <w:color w:val="6B5E0F"/>
                <w:sz w:val="20"/>
                <w:szCs w:val="20"/>
              </w:rPr>
              <w:t xml:space="preserve">Outcome</w:t>
            </w:r>
          </w:p>
          <w:p>
            <w:pPr>
              <w:spacing w:after="40" w:line="264"/>
            </w:pPr>
            <w:r>
              <w:rPr>
                <w:color w:val="3A3A3A"/>
                <w:sz w:val="19"/>
                <w:szCs w:val="19"/>
              </w:rPr>
              <w:t xml:space="preserve">Pend the surge for review (P-REV); pend the unitemized claim for documentation (P-DOC). Approve only those that clear all gates and screening; do not rush approvals because employment is ending.</w:t>
            </w:r>
          </w:p>
        </w:tc>
      </w:tr>
    </w:tbl>
    <w:p>
      <w:pPr>
        <w:pStyle w:val="Heading1"/>
        <w:pBdr>
          <w:bottom w:val="single" w:color="BA0C2F" w:sz="6" w:space="4"/>
        </w:pBdr>
        <w:spacing w:after="160" w:before="360"/>
      </w:pPr>
      <w:r>
        <w:t xml:space="preserve">19. Adjudicator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4F6" w:sz="1"/>
              <w:left w:val="single" w:color="4A6E8A" w:sz="18"/>
              <w:bottom w:val="single" w:color="F1F4F6" w:sz="1"/>
              <w:right w:val="single" w:color="F1F4F6" w:sz="1"/>
            </w:tcBorders>
            <w:shd w:fill="F1F4F6" w:val="clear"/>
            <w:tcMar>
              <w:top w:type="dxa" w:w="110"/>
              <w:left w:type="dxa" w:w="160"/>
              <w:bottom w:type="dxa" w:w="110"/>
              <w:right w:type="dxa" w:w="160"/>
            </w:tcMar>
          </w:tcPr>
          <w:p>
            <w:pPr>
              <w:spacing w:after="60"/>
            </w:pPr>
            <w:r>
              <w:rPr>
                <w:b/>
                <w:bCs/>
                <w:color w:val="4A6E8A"/>
                <w:sz w:val="20"/>
                <w:szCs w:val="20"/>
              </w:rPr>
              <w:t xml:space="preserve">One-page summary</w:t>
            </w:r>
          </w:p>
          <w:p>
            <w:pPr>
              <w:spacing w:after="40" w:line="264"/>
            </w:pPr>
            <w:r>
              <w:rPr>
                <w:b/>
                <w:bCs/>
                <w:color w:val="222222"/>
                <w:sz w:val="19"/>
                <w:szCs w:val="19"/>
              </w:rPr>
              <w:t xml:space="preserve">Three gates, in order: </w:t>
            </w:r>
            <w:r>
              <w:rPr>
                <w:color w:val="3A3A3A"/>
                <w:sz w:val="19"/>
                <w:szCs w:val="19"/>
              </w:rPr>
              <w:t xml:space="preserve">(1) eligible person with active coverage, (2) eligible expense in-period and not a medical expense, (3) valid itemized receipt with proof of payment in the claimant's name. All three plus an available balance = approve.</w:t>
            </w:r>
          </w:p>
          <w:p>
            <w:pPr>
              <w:spacing w:after="40" w:line="264"/>
            </w:pPr>
            <w:r>
              <w:rPr>
                <w:b/>
                <w:bCs/>
                <w:color w:val="222222"/>
                <w:sz w:val="19"/>
                <w:szCs w:val="19"/>
              </w:rPr>
              <w:t xml:space="preserve">Always taxable: </w:t>
            </w:r>
            <w:r>
              <w:rPr>
                <w:color w:val="3A3A3A"/>
                <w:sz w:val="19"/>
                <w:szCs w:val="19"/>
              </w:rPr>
              <w:t xml:space="preserve">flag every approval for payroll (T4 box 14 + code 40; Quebec RL-1). Never imply a WSA reimbursement is tax-free.</w:t>
            </w:r>
          </w:p>
          <w:p>
            <w:pPr>
              <w:spacing w:after="40" w:line="264"/>
            </w:pPr>
            <w:r>
              <w:rPr>
                <w:b/>
                <w:bCs/>
                <w:color w:val="222222"/>
                <w:sz w:val="19"/>
                <w:szCs w:val="19"/>
              </w:rPr>
              <w:t xml:space="preserve">Route, do not pay: </w:t>
            </w:r>
            <w:r>
              <w:rPr>
                <w:color w:val="3A3A3A"/>
                <w:sz w:val="19"/>
                <w:szCs w:val="19"/>
              </w:rPr>
              <w:t xml:space="preserve">CRA medical expenses go to extended health / HCSA, not the WSA.</w:t>
            </w:r>
          </w:p>
          <w:p>
            <w:pPr>
              <w:spacing w:after="40" w:line="264"/>
            </w:pPr>
            <w:r>
              <w:rPr>
                <w:b/>
                <w:bCs/>
                <w:color w:val="222222"/>
                <w:sz w:val="19"/>
                <w:szCs w:val="19"/>
              </w:rPr>
              <w:t xml:space="preserve">Reject: </w:t>
            </w:r>
            <w:r>
              <w:rPr>
                <w:color w:val="3A3A3A"/>
                <w:sz w:val="19"/>
                <w:szCs w:val="19"/>
              </w:rPr>
              <w:t xml:space="preserve">quotes, deposits, unitemized slips, gift-card purchases, receipts in non-eligible names.</w:t>
            </w:r>
          </w:p>
          <w:p>
            <w:pPr>
              <w:spacing w:after="40" w:line="264"/>
            </w:pPr>
            <w:r>
              <w:rPr>
                <w:b/>
                <w:bCs/>
                <w:color w:val="222222"/>
                <w:sz w:val="19"/>
                <w:szCs w:val="19"/>
              </w:rPr>
              <w:t xml:space="preserve">Escalate: </w:t>
            </w:r>
            <w:r>
              <w:rPr>
                <w:color w:val="3A3A3A"/>
                <w:sz w:val="19"/>
                <w:szCs w:val="19"/>
              </w:rPr>
              <w:t xml:space="preserve">any fraud flag to SIU; tax questions to Tax and Payroll; interpretation to the plan sponsor; privacy to the Privacy Officer.</w:t>
            </w:r>
          </w:p>
          <w:p>
            <w:pPr>
              <w:spacing w:after="40" w:line="264"/>
            </w:pPr>
            <w:r>
              <w:rPr>
                <w:b/>
                <w:bCs/>
                <w:color w:val="222222"/>
                <w:sz w:val="19"/>
                <w:szCs w:val="19"/>
              </w:rPr>
              <w:t xml:space="preserve">When in doubt: </w:t>
            </w:r>
            <w:r>
              <w:rPr>
                <w:color w:val="3A3A3A"/>
                <w:sz w:val="19"/>
                <w:szCs w:val="19"/>
              </w:rPr>
              <w:t xml:space="preserve">pend, do not guess.</w:t>
            </w:r>
          </w:p>
        </w:tc>
      </w:tr>
    </w:tbl>
    <w:p>
      <w:pPr>
        <w:pStyle w:val="Heading1"/>
        <w:pBdr>
          <w:bottom w:val="single" w:color="BA0C2F" w:sz="6" w:space="4"/>
        </w:pBdr>
        <w:spacing w:after="160" w:before="360"/>
      </w:pPr>
      <w: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Term</w:t>
            </w:r>
          </w:p>
        </w:tc>
        <w:tc>
          <w:tcPr>
            <w:tcW w:type="dxa" w:w="7260"/>
            <w:tcBorders>
              <w:top w:val="single" w:color="CFCACB" w:sz="1"/>
              <w:left w:val="single" w:color="CFCACB" w:sz="1"/>
              <w:bottom w:val="single" w:color="CFCACB" w:sz="1"/>
              <w:right w:val="single" w:color="CFCACB" w:sz="1"/>
            </w:tcBorders>
            <w:shd w:fill="BA0C2F" w:val="clear"/>
            <w:tcMar>
              <w:top w:type="dxa" w:w="70"/>
              <w:left w:type="dxa" w:w="110"/>
              <w:bottom w:type="dxa" w:w="70"/>
              <w:right w:type="dxa" w:w="110"/>
            </w:tcMar>
            <w:vAlign w:val="center"/>
          </w:tcPr>
          <w:p>
            <w:r>
              <w:rPr>
                <w:b/>
                <w:bCs/>
                <w:color w:val="FFFFFF"/>
                <w:sz w:val="19"/>
                <w:szCs w:val="19"/>
              </w:rPr>
              <w:t xml:space="preserve">Definition</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WSA / PSA / LSA</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Wellness / Personal / Lifestyle Spending Account — an employer-funded, taxable allowance for non-medical wellness and lifestyle expenses.</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HCSA</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Health Care Spending Account — a notional account for CRA-eligible medical expenses, tax-free federally as a PHSP.</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PHSP</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Private Health Services Plan — the Income Tax Act structure (s. 248(1)) that makes an HCSA tax-free; a WSA does not qualify.</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METC</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Medical Expense Tax Credit — the credit for eligible medical expenses under s. 118.2(2); defines what an HCSA may cover.</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Notional account</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A paper credit balance funded by the employer as claims are paid; no money is pre-deposited.</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Runout / grace period</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A window after plan-year end (illustratively 90 days) to submit expenses incurred during the year.</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Carryover</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Where elected, unused credits roll forward one benefit year before forfeiting.</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Coordination of benefits</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The order in which multiple plans pay an eligible expense.</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Date incurred</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The service or purchase date used to set the benefit year and balance — not the submission date.</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SIU</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Special Investigations Unit — the team that investigates suspected fraud.</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EOB</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Explanation of Benefits — the statement communicating the claim outcome, reasons, and appeal rights.</w:t>
            </w:r>
          </w:p>
        </w:tc>
      </w:tr>
      <w:tr>
        <w:tc>
          <w:tcPr>
            <w:tcW w:type="dxa" w:w="210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T4 code 40</w:t>
            </w:r>
          </w:p>
        </w:tc>
        <w:tc>
          <w:tcPr>
            <w:tcW w:type="dxa" w:w="7260"/>
            <w:tcBorders>
              <w:top w:val="single" w:color="CFCACB" w:sz="1"/>
              <w:left w:val="single" w:color="CFCACB" w:sz="1"/>
              <w:bottom w:val="single" w:color="CFCACB" w:sz="1"/>
              <w:right w:val="single" w:color="CFCACB" w:sz="1"/>
            </w:tcBorders>
            <w:shd w:fill="F4F0F1" w:val="clear"/>
            <w:tcMar>
              <w:top w:type="dxa" w:w="60"/>
              <w:left w:type="dxa" w:w="110"/>
              <w:bottom w:type="dxa" w:w="60"/>
              <w:right w:type="dxa" w:w="110"/>
            </w:tcMar>
            <w:vAlign w:val="top"/>
          </w:tcPr>
          <w:p>
            <w:pPr>
              <w:spacing w:after="0" w:line="252"/>
            </w:pPr>
            <w:r>
              <w:rPr>
                <w:color w:val="5B5B5B"/>
                <w:sz w:val="18"/>
                <w:szCs w:val="18"/>
              </w:rPr>
              <w:t xml:space="preserve">The Other Information code used to report a taxable benefit on the T4, in addition to box 14 employment income.</w:t>
            </w:r>
          </w:p>
        </w:tc>
      </w:tr>
      <w:tr>
        <w:tc>
          <w:tcPr>
            <w:tcW w:type="dxa" w:w="210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RL-1</w:t>
            </w:r>
          </w:p>
        </w:tc>
        <w:tc>
          <w:tcPr>
            <w:tcW w:type="dxa" w:w="7260"/>
            <w:tcBorders>
              <w:top w:val="single" w:color="CFCACB" w:sz="1"/>
              <w:left w:val="single" w:color="CFCACB" w:sz="1"/>
              <w:bottom w:val="single" w:color="CFCACB" w:sz="1"/>
              <w:right w:val="single" w:color="CFCACB" w:sz="1"/>
            </w:tcBorders>
            <w:shd w:fill="FFFFFF" w:val="clear"/>
            <w:tcMar>
              <w:top w:type="dxa" w:w="60"/>
              <w:left w:type="dxa" w:w="110"/>
              <w:bottom w:type="dxa" w:w="60"/>
              <w:right w:type="dxa" w:w="110"/>
            </w:tcMar>
            <w:vAlign w:val="top"/>
          </w:tcPr>
          <w:p>
            <w:pPr>
              <w:spacing w:after="0" w:line="252"/>
            </w:pPr>
            <w:r>
              <w:rPr>
                <w:color w:val="5B5B5B"/>
                <w:sz w:val="18"/>
                <w:szCs w:val="18"/>
              </w:rPr>
              <w:t xml:space="preserve">The Quebec information slip on which a Quebec taxable benefit is reported (box A and related boxes).</w:t>
            </w:r>
          </w:p>
        </w:tc>
      </w:tr>
    </w:tbl>
    <w:p>
      <w:pPr>
        <w:pBdr>
          <w:top w:val="single" w:color="BA0C2F" w:sz="6" w:space="6"/>
        </w:pBdr>
        <w:spacing w:before="400"/>
      </w:pPr>
      <w:r>
        <w:rPr>
          <w:i/>
          <w:iCs/>
          <w:color w:val="838271"/>
          <w:sz w:val="18"/>
          <w:szCs w:val="18"/>
        </w:rPr>
        <w:t xml:space="preserve">End of manual. This is an illustrative training document; the governing group policy and benefit booklet prevail in all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CDD" w:sz="4" w:space="4"/>
      </w:pBdr>
      <w:tabs>
        <w:tab w:val="center" w:pos="4680"/>
        <w:tab w:val="right" w:pos="9360"/>
      </w:tabs>
    </w:pPr>
    <w:r>
      <w:rPr>
        <w:color w:val="838271"/>
        <w:sz w:val="15"/>
        <w:szCs w:val="15"/>
      </w:rPr>
      <w:t xml:space="preserve">Confidential — internal use only</w:t>
    </w:r>
    <w:r>
      <w:rPr>
        <w:sz w:val="15"/>
        <w:szCs w:val="15"/>
      </w:rPr>
      <w:t xml:space="preserve">	</w:t>
    </w:r>
    <w:r>
      <w:rPr>
        <w:color w:val="838271"/>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838271"/>
        <w:sz w:val="15"/>
        <w:szCs w:val="15"/>
      </w:rPr>
      <w:t xml:space="preserve">	Edition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CDD" w:sz="4" w:space="4"/>
      </w:pBdr>
      <w:tabs>
        <w:tab w:val="right" w:pos="9360"/>
      </w:tabs>
    </w:pPr>
    <w:r>
      <w:rPr>
        <w:b/>
        <w:bCs/>
        <w:color w:val="BA0C2F"/>
        <w:sz w:val="16"/>
        <w:szCs w:val="16"/>
      </w:rPr>
      <w:t xml:space="preserve">Maple Shield Benefits</w:t>
    </w:r>
    <w:r>
      <w:rPr>
        <w:color w:val="838271"/>
        <w:sz w:val="16"/>
        <w:szCs w:val="16"/>
      </w:rPr>
      <w:t xml:space="preserve">	WSA Claims Adjudication Manual — Illustrative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B5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BA0C2F"/>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F1F1F"/>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83827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Spending Account Claims Adjudication Manual</dc:title>
  <dc:creator>Maple Shield Benefits (illustrative)</dc:creator>
  <dc:description>Illustrative claims adjudication manual for a Canadian group insurer WSA</dc:description>
  <cp:lastModifiedBy>Un-named</cp:lastModifiedBy>
  <cp:revision>1</cp:revision>
  <dcterms:created xsi:type="dcterms:W3CDTF">2026-06-19T19:51:14.779Z</dcterms:created>
  <dcterms:modified xsi:type="dcterms:W3CDTF">2026-06-19T19:51:14.779Z</dcterms:modified>
</cp:coreProperties>
</file>

<file path=docProps/custom.xml><?xml version="1.0" encoding="utf-8"?>
<Properties xmlns="http://schemas.openxmlformats.org/officeDocument/2006/custom-properties" xmlns:vt="http://schemas.openxmlformats.org/officeDocument/2006/docPropsVTypes"/>
</file>