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b/>
          <w:bCs/>
          <w:color w:val="BA0C2F"/>
          <w:spacing w:val="30"/>
          <w:sz w:val="30"/>
          <w:szCs w:val="30"/>
        </w:rPr>
        <w:t xml:space="preserve">MAPLE SHIELD BENEFITS</w:t>
      </w:r>
    </w:p>
    <w:p>
      <w:pPr>
        <w:pBdr>
          <w:bottom w:val="single" w:color="BA0C2F" w:sz="12" w:space="8"/>
        </w:pBdr>
        <w:spacing w:after="700"/>
      </w:pPr>
      <w:r>
        <w:rPr>
          <w:color w:val="838271"/>
          <w:sz w:val="20"/>
          <w:szCs w:val="20"/>
        </w:rPr>
        <w:t xml:space="preserve">Group Benefits</w:t>
      </w:r>
    </w:p>
    <w:p>
      <w:pPr>
        <w:spacing w:after="50" w:before="300"/>
      </w:pPr>
      <w:r>
        <w:rPr>
          <w:b/>
          <w:bCs/>
          <w:color w:val="1A1A1A"/>
          <w:sz w:val="60"/>
          <w:szCs w:val="60"/>
        </w:rPr>
        <w:t xml:space="preserve">Your Wellness</w:t>
      </w:r>
    </w:p>
    <w:p>
      <w:pPr>
        <w:spacing w:after="50"/>
      </w:pPr>
      <w:r>
        <w:rPr>
          <w:b/>
          <w:bCs/>
          <w:color w:val="1A1A1A"/>
          <w:sz w:val="60"/>
          <w:szCs w:val="60"/>
        </w:rPr>
        <w:t xml:space="preserve">Spending Account</w:t>
      </w:r>
    </w:p>
    <w:p>
      <w:pPr>
        <w:spacing w:after="0" w:before="120"/>
      </w:pPr>
      <w:r>
        <w:rPr>
          <w:color w:val="555555"/>
          <w:sz w:val="36"/>
          <w:szCs w:val="36"/>
        </w:rPr>
        <w:t xml:space="preserve">Group Benefit Booklet</w:t>
      </w:r>
    </w:p>
    <w:p>
      <w:pPr>
        <w:spacing w:after="0" w:before="420"/>
      </w:pPr>
      <w:r>
        <w:rPr>
          <w:i/>
          <w:iCs/>
          <w:color w:val="4F4F4F"/>
          <w:sz w:val="22"/>
          <w:szCs w:val="22"/>
        </w:rPr>
        <w:t xml:space="preserve">A plain-language guide to how your account works, what it covers, and how to claim</w:t>
      </w:r>
    </w:p>
    <w:p>
      <w:pPr>
        <w:spacing w:before="1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none"/>
              <w:left w:val="none"/>
              <w:bottom w:val="single" w:color="DAD4D5" w:sz="1"/>
              <w:right w:val="none"/>
            </w:tcBorders>
            <w:tcMar>
              <w:top w:type="dxa" w:w="60"/>
              <w:left w:type="dxa" w:w="0"/>
              <w:bottom w:type="dxa" w:w="60"/>
              <w:right w:type="dxa" w:w="120"/>
            </w:tcMar>
          </w:tcPr>
          <w:p>
            <w:r>
              <w:rPr>
                <w:b/>
                <w:bCs/>
                <w:color w:val="BA0C2F"/>
                <w:sz w:val="18"/>
                <w:szCs w:val="18"/>
              </w:rPr>
              <w:t xml:space="preserve">Plan sponsor</w:t>
            </w:r>
          </w:p>
        </w:tc>
        <w:tc>
          <w:tcPr>
            <w:tcW w:type="dxa" w:w="6660"/>
            <w:tcBorders>
              <w:top w:val="none"/>
              <w:left w:val="none"/>
              <w:bottom w:val="single" w:color="DAD4D5" w:sz="1"/>
              <w:right w:val="none"/>
            </w:tcBorders>
            <w:tcMar>
              <w:top w:type="dxa" w:w="60"/>
              <w:left w:type="dxa" w:w="0"/>
              <w:bottom w:type="dxa" w:w="60"/>
              <w:right w:type="dxa" w:w="0"/>
            </w:tcMar>
          </w:tcPr>
          <w:p>
            <w:r>
              <w:rPr>
                <w:color w:val="4F4F4F"/>
                <w:sz w:val="18"/>
                <w:szCs w:val="18"/>
              </w:rPr>
              <w:t xml:space="preserve">Northwind Manufacturing Inc. (illustrative)</w:t>
            </w:r>
          </w:p>
        </w:tc>
      </w:tr>
      <w:tr>
        <w:tc>
          <w:tcPr>
            <w:tcW w:type="dxa" w:w="2700"/>
            <w:tcBorders>
              <w:top w:val="none"/>
              <w:left w:val="none"/>
              <w:bottom w:val="single" w:color="DAD4D5" w:sz="1"/>
              <w:right w:val="none"/>
            </w:tcBorders>
            <w:tcMar>
              <w:top w:type="dxa" w:w="60"/>
              <w:left w:type="dxa" w:w="0"/>
              <w:bottom w:type="dxa" w:w="60"/>
              <w:right w:type="dxa" w:w="120"/>
            </w:tcMar>
          </w:tcPr>
          <w:p>
            <w:r>
              <w:rPr>
                <w:b/>
                <w:bCs/>
                <w:color w:val="BA0C2F"/>
                <w:sz w:val="18"/>
                <w:szCs w:val="18"/>
              </w:rPr>
              <w:t xml:space="preserve">Insurer / administrator</w:t>
            </w:r>
          </w:p>
        </w:tc>
        <w:tc>
          <w:tcPr>
            <w:tcW w:type="dxa" w:w="6660"/>
            <w:tcBorders>
              <w:top w:val="none"/>
              <w:left w:val="none"/>
              <w:bottom w:val="single" w:color="DAD4D5" w:sz="1"/>
              <w:right w:val="none"/>
            </w:tcBorders>
            <w:tcMar>
              <w:top w:type="dxa" w:w="60"/>
              <w:left w:type="dxa" w:w="0"/>
              <w:bottom w:type="dxa" w:w="60"/>
              <w:right w:type="dxa" w:w="0"/>
            </w:tcMar>
          </w:tcPr>
          <w:p>
            <w:r>
              <w:rPr>
                <w:color w:val="4F4F4F"/>
                <w:sz w:val="18"/>
                <w:szCs w:val="18"/>
              </w:rPr>
              <w:t xml:space="preserve">Maple Shield Life Assurance Company (fictional)</w:t>
            </w:r>
          </w:p>
        </w:tc>
      </w:tr>
      <w:tr>
        <w:tc>
          <w:tcPr>
            <w:tcW w:type="dxa" w:w="2700"/>
            <w:tcBorders>
              <w:top w:val="none"/>
              <w:left w:val="none"/>
              <w:bottom w:val="single" w:color="DAD4D5" w:sz="1"/>
              <w:right w:val="none"/>
            </w:tcBorders>
            <w:tcMar>
              <w:top w:type="dxa" w:w="60"/>
              <w:left w:type="dxa" w:w="0"/>
              <w:bottom w:type="dxa" w:w="60"/>
              <w:right w:type="dxa" w:w="120"/>
            </w:tcMar>
          </w:tcPr>
          <w:p>
            <w:r>
              <w:rPr>
                <w:b/>
                <w:bCs/>
                <w:color w:val="BA0C2F"/>
                <w:sz w:val="18"/>
                <w:szCs w:val="18"/>
              </w:rPr>
              <w:t xml:space="preserve">Group policy number</w:t>
            </w:r>
          </w:p>
        </w:tc>
        <w:tc>
          <w:tcPr>
            <w:tcW w:type="dxa" w:w="6660"/>
            <w:tcBorders>
              <w:top w:val="none"/>
              <w:left w:val="none"/>
              <w:bottom w:val="single" w:color="DAD4D5" w:sz="1"/>
              <w:right w:val="none"/>
            </w:tcBorders>
            <w:tcMar>
              <w:top w:type="dxa" w:w="60"/>
              <w:left w:type="dxa" w:w="0"/>
              <w:bottom w:type="dxa" w:w="60"/>
              <w:right w:type="dxa" w:w="0"/>
            </w:tcMar>
          </w:tcPr>
          <w:p>
            <w:r>
              <w:rPr>
                <w:color w:val="4F4F4F"/>
                <w:sz w:val="18"/>
                <w:szCs w:val="18"/>
              </w:rPr>
              <w:t xml:space="preserve">GP-489120 (illustrative)</w:t>
            </w:r>
          </w:p>
        </w:tc>
      </w:tr>
      <w:tr>
        <w:tc>
          <w:tcPr>
            <w:tcW w:type="dxa" w:w="2700"/>
            <w:tcBorders>
              <w:top w:val="none"/>
              <w:left w:val="none"/>
              <w:bottom w:val="single" w:color="DAD4D5" w:sz="1"/>
              <w:right w:val="none"/>
            </w:tcBorders>
            <w:tcMar>
              <w:top w:type="dxa" w:w="60"/>
              <w:left w:type="dxa" w:w="0"/>
              <w:bottom w:type="dxa" w:w="60"/>
              <w:right w:type="dxa" w:w="120"/>
            </w:tcMar>
          </w:tcPr>
          <w:p>
            <w:r>
              <w:rPr>
                <w:b/>
                <w:bCs/>
                <w:color w:val="BA0C2F"/>
                <w:sz w:val="18"/>
                <w:szCs w:val="18"/>
              </w:rPr>
              <w:t xml:space="preserve">Benefit</w:t>
            </w:r>
          </w:p>
        </w:tc>
        <w:tc>
          <w:tcPr>
            <w:tcW w:type="dxa" w:w="6660"/>
            <w:tcBorders>
              <w:top w:val="none"/>
              <w:left w:val="none"/>
              <w:bottom w:val="single" w:color="DAD4D5" w:sz="1"/>
              <w:right w:val="none"/>
            </w:tcBorders>
            <w:tcMar>
              <w:top w:type="dxa" w:w="60"/>
              <w:left w:type="dxa" w:w="0"/>
              <w:bottom w:type="dxa" w:w="60"/>
              <w:right w:type="dxa" w:w="0"/>
            </w:tcMar>
          </w:tcPr>
          <w:p>
            <w:r>
              <w:rPr>
                <w:color w:val="4F4F4F"/>
                <w:sz w:val="18"/>
                <w:szCs w:val="18"/>
              </w:rPr>
              <w:t xml:space="preserve">Wellness Spending Account (WSA)</w:t>
            </w:r>
          </w:p>
        </w:tc>
      </w:tr>
      <w:tr>
        <w:tc>
          <w:tcPr>
            <w:tcW w:type="dxa" w:w="2700"/>
            <w:tcBorders>
              <w:top w:val="none"/>
              <w:left w:val="none"/>
              <w:bottom w:val="single" w:color="DAD4D5" w:sz="1"/>
              <w:right w:val="none"/>
            </w:tcBorders>
            <w:tcMar>
              <w:top w:type="dxa" w:w="60"/>
              <w:left w:type="dxa" w:w="0"/>
              <w:bottom w:type="dxa" w:w="60"/>
              <w:right w:type="dxa" w:w="120"/>
            </w:tcMar>
          </w:tcPr>
          <w:p>
            <w:r>
              <w:rPr>
                <w:b/>
                <w:bCs/>
                <w:color w:val="BA0C2F"/>
                <w:sz w:val="18"/>
                <w:szCs w:val="18"/>
              </w:rPr>
              <w:t xml:space="preserve">Booklet edition</w:t>
            </w:r>
          </w:p>
        </w:tc>
        <w:tc>
          <w:tcPr>
            <w:tcW w:type="dxa" w:w="6660"/>
            <w:tcBorders>
              <w:top w:val="none"/>
              <w:left w:val="none"/>
              <w:bottom w:val="single" w:color="DAD4D5" w:sz="1"/>
              <w:right w:val="none"/>
            </w:tcBorders>
            <w:tcMar>
              <w:top w:type="dxa" w:w="60"/>
              <w:left w:type="dxa" w:w="0"/>
              <w:bottom w:type="dxa" w:w="60"/>
              <w:right w:type="dxa" w:w="0"/>
            </w:tcMar>
          </w:tcPr>
          <w:p>
            <w:r>
              <w:rPr>
                <w:color w:val="4F4F4F"/>
                <w:sz w:val="18"/>
                <w:szCs w:val="18"/>
              </w:rPr>
              <w:t xml:space="preserve">Edition 1.0 — current plan year</w:t>
            </w:r>
          </w:p>
        </w:tc>
      </w:tr>
      <w:tr>
        <w:tc>
          <w:tcPr>
            <w:tcW w:type="dxa" w:w="2700"/>
            <w:tcBorders>
              <w:top w:val="none"/>
              <w:left w:val="none"/>
              <w:bottom w:val="single" w:color="DAD4D5" w:sz="1"/>
              <w:right w:val="none"/>
            </w:tcBorders>
            <w:tcMar>
              <w:top w:type="dxa" w:w="60"/>
              <w:left w:type="dxa" w:w="0"/>
              <w:bottom w:type="dxa" w:w="60"/>
              <w:right w:type="dxa" w:w="120"/>
            </w:tcMar>
          </w:tcPr>
          <w:p>
            <w:r>
              <w:rPr>
                <w:b/>
                <w:bCs/>
                <w:color w:val="BA0C2F"/>
                <w:sz w:val="18"/>
                <w:szCs w:val="18"/>
              </w:rPr>
              <w:t xml:space="preserve">Policy / plan year</w:t>
            </w:r>
          </w:p>
        </w:tc>
        <w:tc>
          <w:tcPr>
            <w:tcW w:type="dxa" w:w="6660"/>
            <w:tcBorders>
              <w:top w:val="none"/>
              <w:left w:val="none"/>
              <w:bottom w:val="single" w:color="DAD4D5" w:sz="1"/>
              <w:right w:val="none"/>
            </w:tcBorders>
            <w:tcMar>
              <w:top w:type="dxa" w:w="60"/>
              <w:left w:type="dxa" w:w="0"/>
              <w:bottom w:type="dxa" w:w="60"/>
              <w:right w:type="dxa" w:w="0"/>
            </w:tcMar>
          </w:tcPr>
          <w:p>
            <w:r>
              <w:rPr>
                <w:color w:val="4F4F4F"/>
                <w:sz w:val="18"/>
                <w:szCs w:val="18"/>
              </w:rPr>
              <w:t xml:space="preserve">January 1 to December 31</w:t>
            </w:r>
          </w:p>
        </w:tc>
      </w:tr>
    </w:tbl>
    <w:p>
      <w:pPr>
        <w:pageBreakBefore/>
      </w:pPr>
    </w:p>
    <w:p>
      <w:pPr>
        <w:pStyle w:val="Heading1"/>
        <w:pBdr>
          <w:bottom w:val="single" w:color="BA0C2F" w:sz="6" w:space="4"/>
        </w:pBdr>
        <w:spacing w:after="150" w:before="340"/>
      </w:pPr>
      <w:bookmarkStart w:name="about" w:id="1"/>
      <w:r>
        <w:t xml:space="preserve">About This Booklet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F0" w:sz="1"/>
              <w:left w:val="single" w:color="838271" w:sz="18"/>
              <w:bottom w:val="single" w:color="F3EEF0" w:sz="1"/>
              <w:right w:val="single" w:color="F3EEF0" w:sz="1"/>
            </w:tcBorders>
            <w:shd w:fill="F3EEF0" w:val="clear"/>
            <w:tcMar>
              <w:top w:type="dxa" w:w="110"/>
              <w:left w:type="dxa" w:w="160"/>
              <w:bottom w:type="dxa" w:w="110"/>
              <w:right w:type="dxa" w:w="160"/>
            </w:tcMar>
          </w:tcPr>
          <w:p>
            <w:pPr>
              <w:spacing w:after="60"/>
            </w:pPr>
            <w:r>
              <w:rPr>
                <w:b/>
                <w:bCs/>
                <w:color w:val="6A6A6A"/>
                <w:sz w:val="20"/>
                <w:szCs w:val="20"/>
              </w:rPr>
              <w:t xml:space="preserve">This is an illustrative document</w:t>
            </w:r>
          </w:p>
          <w:p>
            <w:pPr>
              <w:spacing w:after="40" w:line="268"/>
            </w:pPr>
            <w:r>
              <w:rPr>
                <w:color w:val="353535"/>
                <w:sz w:val="19"/>
                <w:szCs w:val="19"/>
              </w:rPr>
              <w:t xml:space="preserve">This benefit booklet is a mock / sample prepared for demonstration. Maple Shield Life Assurance Company, Northwind Manufacturing Inc., the policy number, and all dollar amounts and dates are fictional examples. The structure, plan mechanics, taxation, covered and excluded expenses, claim rules, and legal provisions reflect how real Canadian Wellness Spending Accounts work. It is designed to read alongside the companion Claims Adjudication Manual for the same fictional plan.</w:t>
            </w:r>
          </w:p>
        </w:tc>
      </w:tr>
    </w:tbl>
    <w:p>
      <w:pPr>
        <w:spacing w:after="150" w:line="282"/>
      </w:pPr>
      <w:r>
        <w:rPr>
          <w:color w:val="4F4F4F"/>
          <w:sz w:val="21"/>
          <w:szCs w:val="21"/>
        </w:rPr>
        <w:t xml:space="preserve">This booklet explains your Wellness Spending Account in everyday language. It tells you who is covered, how much you have, what you can spend it on, how to submit a claim, and what happens when your situation changes. Keep it handy and refer to it whenever you have a question about your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6" w:sz="1"/>
              <w:left w:val="single" w:color="B07A12" w:sz="18"/>
              <w:bottom w:val="single" w:color="FBF4E6" w:sz="1"/>
              <w:right w:val="single" w:color="FBF4E6" w:sz="1"/>
            </w:tcBorders>
            <w:shd w:fill="FBF4E6" w:val="clear"/>
            <w:tcMar>
              <w:top w:type="dxa" w:w="110"/>
              <w:left w:type="dxa" w:w="160"/>
              <w:bottom w:type="dxa" w:w="110"/>
              <w:right w:type="dxa" w:w="160"/>
            </w:tcMar>
          </w:tcPr>
          <w:p>
            <w:pPr>
              <w:spacing w:after="60"/>
            </w:pPr>
            <w:r>
              <w:rPr>
                <w:b/>
                <w:bCs/>
                <w:color w:val="B07A12"/>
                <w:sz w:val="20"/>
                <w:szCs w:val="20"/>
              </w:rPr>
              <w:t xml:space="preserve">If there is ever a difference</w:t>
            </w:r>
          </w:p>
          <w:p>
            <w:pPr>
              <w:spacing w:after="40" w:line="268"/>
            </w:pPr>
            <w:r>
              <w:rPr>
                <w:color w:val="353535"/>
                <w:sz w:val="19"/>
                <w:szCs w:val="19"/>
              </w:rPr>
              <w:t xml:space="preserve">This booklet is a summary written for convenience. The group policy issued to your plan sponsor is the legal contract. If anything in this booklet ever differs from the group policy, the group policy governs.</w:t>
            </w:r>
          </w:p>
        </w:tc>
      </w:tr>
    </w:tbl>
    <w:p>
      <w:pPr>
        <w:pageBreakBefore/>
      </w:pPr>
    </w:p>
    <w:p>
      <w:pPr>
        <w:pStyle w:val="Heading1"/>
        <w:pBdr>
          <w:bottom w:val="single" w:color="BA0C2F" w:sz="6" w:space="4"/>
        </w:pBdr>
        <w:spacing w:after="150"/>
      </w:pPr>
      <w: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ageBreakBefore/>
      </w:pPr>
    </w:p>
    <w:p>
      <w:pPr>
        <w:pStyle w:val="Heading1"/>
        <w:pBdr>
          <w:bottom w:val="single" w:color="BA0C2F" w:sz="6" w:space="4"/>
        </w:pBdr>
        <w:spacing w:after="150" w:before="340"/>
      </w:pPr>
      <w:r>
        <w:t xml:space="preserve">Welcome to Your Wellness Spending Account</w:t>
      </w:r>
    </w:p>
    <w:p>
      <w:pPr>
        <w:spacing w:after="150" w:line="282"/>
      </w:pPr>
      <w:r>
        <w:rPr>
          <w:color w:val="4F4F4F"/>
          <w:sz w:val="21"/>
          <w:szCs w:val="21"/>
        </w:rPr>
        <w:t xml:space="preserve">Your employer has set up a Wellness Spending Account, or WSA, as part of your group benefits. It is money your employer sets aside each plan year to help you pay for a wide range of wellness and lifestyle expenses, from a gym membership to a professional course to childcare.</w:t>
      </w:r>
    </w:p>
    <w:p>
      <w:pPr>
        <w:spacing w:after="150" w:line="282"/>
      </w:pPr>
      <w:r>
        <w:rPr>
          <w:color w:val="4F4F4F"/>
          <w:sz w:val="21"/>
          <w:szCs w:val="21"/>
        </w:rPr>
        <w:t xml:space="preserve">Your WSA is meant to be flexible. It covers many things that traditional health and dental benefits do not, and you choose how to use it within the list of eligible expenses in this booklet.</w:t>
      </w:r>
    </w:p>
    <w:p>
      <w:pPr>
        <w:pStyle w:val="Heading3"/>
        <w:spacing w:after="80" w:before="160"/>
      </w:pPr>
      <w:r>
        <w:t xml:space="preserve">Three things to know up front</w:t>
      </w:r>
    </w:p>
    <w:p>
      <w:pPr>
        <w:pStyle w:val="ListParagraph"/>
        <w:numPr>
          <w:ilvl w:val="0"/>
          <w:numId w:val="2"/>
        </w:numPr>
        <w:spacing w:after="80" w:line="272"/>
      </w:pPr>
      <w:r>
        <w:rPr>
          <w:b/>
          <w:bCs/>
          <w:color w:val="1F1F1F"/>
          <w:sz w:val="21"/>
          <w:szCs w:val="21"/>
        </w:rPr>
        <w:t xml:space="preserve">You pay first, then claim. </w:t>
      </w:r>
      <w:r>
        <w:rPr>
          <w:color w:val="4F4F4F"/>
          <w:sz w:val="21"/>
          <w:szCs w:val="21"/>
        </w:rPr>
        <w:t xml:space="preserve">You buy the eligible item or service, then submit your receipt for reimbursement.</w:t>
      </w:r>
    </w:p>
    <w:p>
      <w:pPr>
        <w:pStyle w:val="ListParagraph"/>
        <w:numPr>
          <w:ilvl w:val="0"/>
          <w:numId w:val="2"/>
        </w:numPr>
        <w:spacing w:after="80" w:line="272"/>
      </w:pPr>
      <w:r>
        <w:rPr>
          <w:b/>
          <w:bCs/>
          <w:color w:val="1F1F1F"/>
          <w:sz w:val="21"/>
          <w:szCs w:val="21"/>
        </w:rPr>
        <w:t xml:space="preserve">Your reimbursement is taxable. </w:t>
      </w:r>
      <w:r>
        <w:rPr>
          <w:color w:val="4F4F4F"/>
          <w:sz w:val="21"/>
          <w:szCs w:val="21"/>
        </w:rPr>
        <w:t xml:space="preserve">Because the WSA covers lifestyle expenses rather than medical expenses, the amount you are reimbursed is treated as taxable income. See “How Your WSA Is Taxed.”</w:t>
      </w:r>
    </w:p>
    <w:p>
      <w:pPr>
        <w:pStyle w:val="ListParagraph"/>
        <w:numPr>
          <w:ilvl w:val="0"/>
          <w:numId w:val="2"/>
        </w:numPr>
        <w:spacing w:after="80" w:line="272"/>
      </w:pPr>
      <w:r>
        <w:rPr>
          <w:b/>
          <w:bCs/>
          <w:color w:val="1F1F1F"/>
          <w:sz w:val="21"/>
          <w:szCs w:val="21"/>
        </w:rPr>
        <w:t xml:space="preserve">Use it within the plan year. </w:t>
      </w:r>
      <w:r>
        <w:rPr>
          <w:color w:val="4F4F4F"/>
          <w:sz w:val="21"/>
          <w:szCs w:val="21"/>
        </w:rPr>
        <w:t xml:space="preserve">Your credits are for the current plan year. Depending on your plan, unused credits may carry forward once or may be lost. See “How Your Account Works.”</w:t>
      </w:r>
    </w:p>
    <w:p>
      <w:pPr>
        <w:pStyle w:val="Heading1"/>
        <w:pBdr>
          <w:bottom w:val="single" w:color="BA0C2F" w:sz="6" w:space="4"/>
        </w:pBdr>
        <w:spacing w:after="150" w:before="340"/>
      </w:pPr>
      <w:r>
        <w:t xml:space="preserve">How to Reach Us</w:t>
      </w:r>
    </w:p>
    <w:p>
      <w:pPr>
        <w:spacing w:after="150" w:line="282"/>
      </w:pPr>
      <w:r>
        <w:rPr>
          <w:color w:val="4F4F4F"/>
          <w:sz w:val="21"/>
          <w:szCs w:val="21"/>
        </w:rPr>
        <w:t xml:space="preserve">Our member services team can help you check your balance, understand whether an expense is eligible, or follow up on a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Need help with</w:t>
            </w:r>
          </w:p>
        </w:tc>
        <w:tc>
          <w:tcPr>
            <w:tcW w:type="dxa" w:w="666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How to reach us (illustrative)</w:t>
            </w:r>
          </w:p>
        </w:tc>
      </w:tr>
      <w:tr>
        <w:tc>
          <w:tcPr>
            <w:tcW w:type="dxa" w:w="27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Member website and app</w:t>
            </w:r>
          </w:p>
        </w:tc>
        <w:tc>
          <w:tcPr>
            <w:tcW w:type="dxa" w:w="66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myplan.mapleshield-demo.example — check your balance, submit claims, and track payments</w:t>
            </w:r>
          </w:p>
        </w:tc>
      </w:tr>
      <w:tr>
        <w:tc>
          <w:tcPr>
            <w:tcW w:type="dxa" w:w="27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Member services phone</w:t>
            </w:r>
          </w:p>
        </w:tc>
        <w:tc>
          <w:tcPr>
            <w:tcW w:type="dxa" w:w="66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1-800-555-0142, weekdays 8:00 a.m. to 8:00 p.m. ET</w:t>
            </w:r>
          </w:p>
        </w:tc>
      </w:tr>
      <w:tr>
        <w:tc>
          <w:tcPr>
            <w:tcW w:type="dxa" w:w="27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Email</w:t>
            </w:r>
          </w:p>
        </w:tc>
        <w:tc>
          <w:tcPr>
            <w:tcW w:type="dxa" w:w="66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groupbenefits@mapleshield-demo.example</w:t>
            </w:r>
          </w:p>
        </w:tc>
      </w:tr>
      <w:tr>
        <w:tc>
          <w:tcPr>
            <w:tcW w:type="dxa" w:w="27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Claims by mail</w:t>
            </w:r>
          </w:p>
        </w:tc>
        <w:tc>
          <w:tcPr>
            <w:tcW w:type="dxa" w:w="66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Maple Shield Group Claims, PO Box 1000, Station A, Toronto ON  M5W 0A0</w:t>
            </w:r>
          </w:p>
        </w:tc>
      </w:tr>
      <w:tr>
        <w:tc>
          <w:tcPr>
            <w:tcW w:type="dxa" w:w="27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Plan administrator (your employer)</w:t>
            </w:r>
          </w:p>
        </w:tc>
        <w:tc>
          <w:tcPr>
            <w:tcW w:type="dxa" w:w="66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Northwind HR — benefits@northwind-demo.example</w:t>
            </w:r>
          </w:p>
        </w:tc>
      </w:tr>
    </w:tbl>
    <w:p>
      <w:pPr>
        <w:pStyle w:val="Heading1"/>
        <w:pBdr>
          <w:bottom w:val="single" w:color="BA0C2F" w:sz="6" w:space="4"/>
        </w:pBdr>
        <w:spacing w:after="150" w:before="340"/>
      </w:pPr>
      <w:r>
        <w:t xml:space="preserve">Schedule of Benefits at a Glance</w:t>
      </w:r>
    </w:p>
    <w:p>
      <w:pPr>
        <w:spacing w:after="150" w:line="282"/>
      </w:pPr>
      <w:r>
        <w:rPr>
          <w:color w:val="4F4F4F"/>
          <w:sz w:val="21"/>
          <w:szCs w:val="21"/>
        </w:rPr>
        <w:t xml:space="preserve">This is the quick summary of your plan. The rest of the booklet explains each item in detail. All amounts are illustrative.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Feature</w:t>
            </w:r>
          </w:p>
        </w:tc>
        <w:tc>
          <w:tcPr>
            <w:tcW w:type="dxa" w:w="636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Your plan</w:t>
            </w:r>
          </w:p>
        </w:tc>
      </w:tr>
      <w:tr>
        <w:tc>
          <w:tcPr>
            <w:tcW w:type="dxa" w:w="30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Annual WSA allocation</w:t>
            </w:r>
          </w:p>
        </w:tc>
        <w:tc>
          <w:tcPr>
            <w:tcW w:type="dxa" w:w="63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$750 if you have single coverage; $1,000 if you have family coverage</w:t>
            </w:r>
          </w:p>
        </w:tc>
      </w:tr>
      <w:tr>
        <w:tc>
          <w:tcPr>
            <w:tcW w:type="dxa" w:w="30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Reimbursement rate</w:t>
            </w:r>
          </w:p>
        </w:tc>
        <w:tc>
          <w:tcPr>
            <w:tcW w:type="dxa" w:w="63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100% of an eligible expense, up to your available balance</w:t>
            </w:r>
          </w:p>
        </w:tc>
      </w:tr>
      <w:tr>
        <w:tc>
          <w:tcPr>
            <w:tcW w:type="dxa" w:w="30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Who can use it</w:t>
            </w:r>
          </w:p>
        </w:tc>
        <w:tc>
          <w:tcPr>
            <w:tcW w:type="dxa" w:w="63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You, and your eligible dependents covered under the plan</w:t>
            </w:r>
          </w:p>
        </w:tc>
      </w:tr>
      <w:tr>
        <w:tc>
          <w:tcPr>
            <w:tcW w:type="dxa" w:w="30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Waiting period</w:t>
            </w:r>
          </w:p>
        </w:tc>
        <w:tc>
          <w:tcPr>
            <w:tcW w:type="dxa" w:w="63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First of the month following your date of hire (same as your core benefits)</w:t>
            </w:r>
          </w:p>
        </w:tc>
      </w:tr>
      <w:tr>
        <w:tc>
          <w:tcPr>
            <w:tcW w:type="dxa" w:w="30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Carryover</w:t>
            </w:r>
          </w:p>
        </w:tc>
        <w:tc>
          <w:tcPr>
            <w:tcW w:type="dxa" w:w="63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Unused credits carry forward one plan year, then are forfeited</w:t>
            </w:r>
          </w:p>
        </w:tc>
      </w:tr>
      <w:tr>
        <w:tc>
          <w:tcPr>
            <w:tcW w:type="dxa" w:w="30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Claim runout after year-end</w:t>
            </w:r>
          </w:p>
        </w:tc>
        <w:tc>
          <w:tcPr>
            <w:tcW w:type="dxa" w:w="63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90 days to submit expenses from the prior plan year</w:t>
            </w:r>
          </w:p>
        </w:tc>
      </w:tr>
      <w:tr>
        <w:tc>
          <w:tcPr>
            <w:tcW w:type="dxa" w:w="30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Expense must be incurred</w:t>
            </w:r>
          </w:p>
        </w:tc>
        <w:tc>
          <w:tcPr>
            <w:tcW w:type="dxa" w:w="63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During the plan year while your coverage is active</w:t>
            </w:r>
          </w:p>
        </w:tc>
      </w:tr>
      <w:tr>
        <w:tc>
          <w:tcPr>
            <w:tcW w:type="dxa" w:w="30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Taxation</w:t>
            </w:r>
          </w:p>
        </w:tc>
        <w:tc>
          <w:tcPr>
            <w:tcW w:type="dxa" w:w="63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Reimbursements are a taxable benefit (reported on your T4, and RL-1 in Quebec)</w:t>
            </w:r>
          </w:p>
        </w:tc>
      </w:tr>
      <w:tr>
        <w:tc>
          <w:tcPr>
            <w:tcW w:type="dxa" w:w="30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How you are paid</w:t>
            </w:r>
          </w:p>
        </w:tc>
        <w:tc>
          <w:tcPr>
            <w:tcW w:type="dxa" w:w="63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Direct deposit, or cheque if direct deposit is not set up</w:t>
            </w:r>
          </w:p>
        </w:tc>
      </w:tr>
    </w:tbl>
    <w:p>
      <w:pPr>
        <w:pStyle w:val="Heading1"/>
        <w:pBdr>
          <w:bottom w:val="single" w:color="BA0C2F" w:sz="6" w:space="4"/>
        </w:pBdr>
        <w:spacing w:after="150" w:before="340"/>
      </w:pPr>
      <w:r>
        <w:t xml:space="preserve">Words With Specific Meanings</w:t>
      </w:r>
    </w:p>
    <w:p>
      <w:pPr>
        <w:spacing w:after="150" w:line="282"/>
      </w:pPr>
      <w:r>
        <w:rPr>
          <w:color w:val="4F4F4F"/>
          <w:sz w:val="21"/>
          <w:szCs w:val="21"/>
        </w:rPr>
        <w:t xml:space="preserve">A few words in this booklet have a particular meaning. They are defined here and used consistently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Term</w:t>
            </w:r>
          </w:p>
        </w:tc>
        <w:tc>
          <w:tcPr>
            <w:tcW w:type="dxa" w:w="686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What it means in this booklet</w:t>
            </w:r>
          </w:p>
        </w:tc>
      </w:tr>
      <w:tr>
        <w:tc>
          <w:tcPr>
            <w:tcW w:type="dxa" w:w="25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Wellness Spending Account (WSA)</w:t>
            </w:r>
          </w:p>
        </w:tc>
        <w:tc>
          <w:tcPr>
            <w:tcW w:type="dxa" w:w="68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The employer-funded account described in this booklet that reimburses eligible wellness and lifestyle expenses.</w:t>
            </w:r>
          </w:p>
        </w:tc>
      </w:tr>
      <w:tr>
        <w:tc>
          <w:tcPr>
            <w:tcW w:type="dxa" w:w="25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Credits</w:t>
            </w:r>
          </w:p>
        </w:tc>
        <w:tc>
          <w:tcPr>
            <w:tcW w:type="dxa" w:w="68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The dollar amount your employer allocates to your WSA for the plan year. Credits are notional, meaning they are an amount on record, not money deposited in an account you hold.</w:t>
            </w:r>
          </w:p>
        </w:tc>
      </w:tr>
      <w:tr>
        <w:tc>
          <w:tcPr>
            <w:tcW w:type="dxa" w:w="25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Plan sponsor</w:t>
            </w:r>
          </w:p>
        </w:tc>
        <w:tc>
          <w:tcPr>
            <w:tcW w:type="dxa" w:w="68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Your employer, who owns the group policy and decides the plan's design.</w:t>
            </w:r>
          </w:p>
        </w:tc>
      </w:tr>
      <w:tr>
        <w:tc>
          <w:tcPr>
            <w:tcW w:type="dxa" w:w="25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Insurer</w:t>
            </w:r>
          </w:p>
        </w:tc>
        <w:tc>
          <w:tcPr>
            <w:tcW w:type="dxa" w:w="68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Maple Shield Life Assurance Company, which administers claims and pays reimbursements (illustrative).</w:t>
            </w:r>
          </w:p>
        </w:tc>
      </w:tr>
      <w:tr>
        <w:tc>
          <w:tcPr>
            <w:tcW w:type="dxa" w:w="25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Eligible expense</w:t>
            </w:r>
          </w:p>
        </w:tc>
        <w:tc>
          <w:tcPr>
            <w:tcW w:type="dxa" w:w="68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An expense that appears on the list of covered categories in this booklet and meets the claim rules.</w:t>
            </w:r>
          </w:p>
        </w:tc>
      </w:tr>
      <w:tr>
        <w:tc>
          <w:tcPr>
            <w:tcW w:type="dxa" w:w="25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Eligible dependent</w:t>
            </w:r>
          </w:p>
        </w:tc>
        <w:tc>
          <w:tcPr>
            <w:tcW w:type="dxa" w:w="68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Your spouse and dependent children as defined under your group plan, where your plan extends the WSA to dependents.</w:t>
            </w:r>
          </w:p>
        </w:tc>
      </w:tr>
      <w:tr>
        <w:tc>
          <w:tcPr>
            <w:tcW w:type="dxa" w:w="25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Incurred</w:t>
            </w:r>
          </w:p>
        </w:tc>
        <w:tc>
          <w:tcPr>
            <w:tcW w:type="dxa" w:w="68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An expense is incurred on the date you receive the service or purchase the item, not the date you pay an instalment or submit the claim.</w:t>
            </w:r>
          </w:p>
        </w:tc>
      </w:tr>
      <w:tr>
        <w:tc>
          <w:tcPr>
            <w:tcW w:type="dxa" w:w="25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Plan year</w:t>
            </w:r>
          </w:p>
        </w:tc>
        <w:tc>
          <w:tcPr>
            <w:tcW w:type="dxa" w:w="68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The 12-month period the plan runs on, January 1 to December 31 in this illustrative plan.</w:t>
            </w:r>
          </w:p>
        </w:tc>
      </w:tr>
      <w:tr>
        <w:tc>
          <w:tcPr>
            <w:tcW w:type="dxa" w:w="25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Runout period</w:t>
            </w:r>
          </w:p>
        </w:tc>
        <w:tc>
          <w:tcPr>
            <w:tcW w:type="dxa" w:w="68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A window after the plan year ends during which you can still submit expenses from that plan year.</w:t>
            </w:r>
          </w:p>
        </w:tc>
      </w:tr>
    </w:tbl>
    <w:p>
      <w:pPr>
        <w:pStyle w:val="Heading1"/>
        <w:pBdr>
          <w:bottom w:val="single" w:color="BA0C2F" w:sz="6" w:space="4"/>
        </w:pBdr>
        <w:spacing w:after="150" w:before="340"/>
      </w:pPr>
      <w:r>
        <w:t xml:space="preserve">Who Is Covered and When</w:t>
      </w:r>
    </w:p>
    <w:p>
      <w:pPr>
        <w:pStyle w:val="Heading2"/>
        <w:spacing w:after="100" w:before="220"/>
      </w:pPr>
      <w:r>
        <w:t xml:space="preserve">When your WSA starts</w:t>
      </w:r>
    </w:p>
    <w:p>
      <w:pPr>
        <w:spacing w:after="150" w:line="282"/>
      </w:pPr>
      <w:r>
        <w:rPr>
          <w:color w:val="4F4F4F"/>
          <w:sz w:val="21"/>
          <w:szCs w:val="21"/>
        </w:rPr>
        <w:t xml:space="preserve">You become eligible for the WSA at the same time you become eligible for your core group benefits. In this illustrative plan, that is the first day of the month following your date of hire, once you have satisfied any waiting period set by your employer.</w:t>
      </w:r>
    </w:p>
    <w:p>
      <w:pPr>
        <w:pStyle w:val="Heading2"/>
        <w:spacing w:after="100" w:before="220"/>
      </w:pPr>
      <w:r>
        <w:t xml:space="preserve">Your dependents</w:t>
      </w:r>
    </w:p>
    <w:p>
      <w:pPr>
        <w:spacing w:after="150" w:line="282"/>
      </w:pPr>
      <w:r>
        <w:rPr>
          <w:color w:val="4F4F4F"/>
          <w:sz w:val="21"/>
          <w:szCs w:val="21"/>
        </w:rPr>
        <w:t xml:space="preserve">This plan extends the WSA to your eligible dependents, which means expenses for your spouse and dependent children can be claimed against your account, as long as they are covered under the plan and the expense is eligible.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F2" w:sz="1"/>
              <w:left w:val="single" w:color="1F6F6B" w:sz="18"/>
              <w:bottom w:val="single" w:color="EAF3F2" w:sz="1"/>
              <w:right w:val="single" w:color="EAF3F2" w:sz="1"/>
            </w:tcBorders>
            <w:shd w:fill="EAF3F2" w:val="clear"/>
            <w:tcMar>
              <w:top w:type="dxa" w:w="110"/>
              <w:left w:type="dxa" w:w="160"/>
              <w:bottom w:type="dxa" w:w="110"/>
              <w:right w:type="dxa" w:w="160"/>
            </w:tcMar>
          </w:tcPr>
          <w:p>
            <w:pPr>
              <w:spacing w:after="60"/>
            </w:pPr>
            <w:r>
              <w:rPr>
                <w:b/>
                <w:bCs/>
                <w:color w:val="1F6F6B"/>
                <w:sz w:val="20"/>
                <w:szCs w:val="20"/>
              </w:rPr>
              <w:t xml:space="preserve">Good to know</w:t>
            </w:r>
          </w:p>
          <w:p>
            <w:pPr>
              <w:spacing w:after="40" w:line="268"/>
            </w:pPr>
            <w:r>
              <w:rPr>
                <w:color w:val="353535"/>
                <w:sz w:val="19"/>
                <w:szCs w:val="19"/>
              </w:rPr>
              <w:t xml:space="preserve">Not every employer extends the WSA to dependents. In this illustrative plan, dependents are included. Your own plan's rule is shown in the Schedule of Benefits.</w:t>
            </w:r>
          </w:p>
        </w:tc>
      </w:tr>
    </w:tbl>
    <w:p>
      <w:pPr>
        <w:pStyle w:val="Heading2"/>
        <w:spacing w:after="100" w:before="220"/>
      </w:pPr>
      <w:r>
        <w:t xml:space="preserve">If you join part way through the year</w:t>
      </w:r>
    </w:p>
    <w:p>
      <w:pPr>
        <w:spacing w:after="150" w:line="282"/>
      </w:pPr>
      <w:r>
        <w:rPr>
          <w:color w:val="4F4F4F"/>
          <w:sz w:val="21"/>
          <w:szCs w:val="21"/>
        </w:rPr>
        <w:t xml:space="preserve">If you become eligible after the plan year has started, your employer decides whether your allocation is the full amount or is prorated for the part of the year remaining. Check with your plan administrator if you are unsure of your starting balance.</w:t>
      </w:r>
    </w:p>
    <w:p>
      <w:pPr>
        <w:pStyle w:val="Heading1"/>
        <w:pBdr>
          <w:bottom w:val="single" w:color="BA0C2F" w:sz="6" w:space="4"/>
        </w:pBdr>
        <w:spacing w:after="150" w:before="340"/>
      </w:pPr>
      <w:r>
        <w:t xml:space="preserve">How Your Account Works</w:t>
      </w:r>
    </w:p>
    <w:p>
      <w:pPr>
        <w:pStyle w:val="Heading2"/>
        <w:spacing w:after="100" w:before="220"/>
      </w:pPr>
      <w:r>
        <w:t xml:space="preserve">Your credits for the year</w:t>
      </w:r>
    </w:p>
    <w:p>
      <w:pPr>
        <w:spacing w:after="150" w:line="282"/>
      </w:pPr>
      <w:r>
        <w:rPr>
          <w:color w:val="4F4F4F"/>
          <w:sz w:val="21"/>
          <w:szCs w:val="21"/>
        </w:rPr>
        <w:t xml:space="preserve">At the start of each plan year your employer allocates credits to your WSA. In this illustrative plan that is $750 for single coverage or $1,000 for family coverage. Your credits are notional, which simply means they are an amount held on record for you. There is no separate bank account, and you cannot withdraw cash. You use your credits by submitting eligible expenses for reimbursement.</w:t>
      </w:r>
    </w:p>
    <w:p>
      <w:pPr>
        <w:pStyle w:val="Heading2"/>
        <w:spacing w:after="100" w:before="220"/>
      </w:pPr>
      <w:r>
        <w:t xml:space="preserve">How much you get back</w:t>
      </w:r>
    </w:p>
    <w:p>
      <w:pPr>
        <w:spacing w:after="150" w:line="282"/>
      </w:pPr>
      <w:r>
        <w:rPr>
          <w:color w:val="4F4F4F"/>
          <w:sz w:val="21"/>
          <w:szCs w:val="21"/>
        </w:rPr>
        <w:t xml:space="preserve">Eligible expenses are reimbursed at 100%, up to your available balance. If a claim is larger than your remaining balance, you are reimbursed up to what is left, and you pay the rest yourself.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F0" w:sz="1"/>
              <w:left w:val="single" w:color="838271" w:sz="18"/>
              <w:bottom w:val="single" w:color="F3EEF0" w:sz="1"/>
              <w:right w:val="single" w:color="F3EEF0" w:sz="1"/>
            </w:tcBorders>
            <w:shd w:fill="F3EEF0" w:val="clear"/>
            <w:tcMar>
              <w:top w:type="dxa" w:w="110"/>
              <w:left w:type="dxa" w:w="160"/>
              <w:bottom w:type="dxa" w:w="110"/>
              <w:right w:type="dxa" w:w="160"/>
            </w:tcMar>
          </w:tcPr>
          <w:p>
            <w:pPr>
              <w:spacing w:after="60"/>
            </w:pPr>
            <w:r>
              <w:rPr>
                <w:b/>
                <w:bCs/>
                <w:color w:val="6A6A6A"/>
                <w:sz w:val="20"/>
                <w:szCs w:val="20"/>
              </w:rPr>
              <w:t xml:space="preserve">Example</w:t>
            </w:r>
          </w:p>
          <w:p>
            <w:pPr>
              <w:spacing w:after="40" w:line="268"/>
            </w:pPr>
            <w:r>
              <w:rPr>
                <w:color w:val="353535"/>
                <w:sz w:val="19"/>
                <w:szCs w:val="19"/>
              </w:rPr>
              <w:t xml:space="preserve">You have $750 in credits. You claim a $90 gym membership and later a $700 professional course. The gym membership is paid in full, leaving $660. The course is reimbursed up to your remaining $660, and the last $40 is yours to cover.</w:t>
            </w:r>
          </w:p>
        </w:tc>
      </w:tr>
    </w:tbl>
    <w:p>
      <w:pPr>
        <w:pStyle w:val="Heading2"/>
        <w:spacing w:after="100" w:before="220"/>
      </w:pPr>
      <w:r>
        <w:t xml:space="preserve">Carrying credits forward</w:t>
      </w:r>
    </w:p>
    <w:p>
      <w:pPr>
        <w:spacing w:after="150" w:line="282"/>
      </w:pPr>
      <w:r>
        <w:rPr>
          <w:color w:val="4F4F4F"/>
          <w:sz w:val="21"/>
          <w:szCs w:val="21"/>
        </w:rPr>
        <w:t xml:space="preserve">In this illustrative plan, credits you do not use carry forward for one plan year. Any amount still unused after that is forfeited. Your employer may instead run a use-it-or-lose-it plan with no carryover; your Schedule of Benefits shows which applies to you.</w:t>
      </w:r>
    </w:p>
    <w:p>
      <w:pPr>
        <w:pStyle w:val="Heading2"/>
        <w:spacing w:after="100" w:before="220"/>
      </w:pPr>
      <w:r>
        <w:t xml:space="preserve">Submitting after the year ends</w:t>
      </w:r>
    </w:p>
    <w:p>
      <w:pPr>
        <w:spacing w:after="150" w:line="282"/>
      </w:pPr>
      <w:r>
        <w:rPr>
          <w:color w:val="4F4F4F"/>
          <w:sz w:val="21"/>
          <w:szCs w:val="21"/>
        </w:rPr>
        <w:t xml:space="preserve">You have a runout period of 90 days after the plan year ends to submit expenses you incurred during that year. After the runout period closes, those expenses can no longer be claimed.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6" w:sz="1"/>
              <w:left w:val="single" w:color="B07A12" w:sz="18"/>
              <w:bottom w:val="single" w:color="FBF4E6" w:sz="1"/>
              <w:right w:val="single" w:color="FBF4E6" w:sz="1"/>
            </w:tcBorders>
            <w:shd w:fill="FBF4E6" w:val="clear"/>
            <w:tcMar>
              <w:top w:type="dxa" w:w="110"/>
              <w:left w:type="dxa" w:w="160"/>
              <w:bottom w:type="dxa" w:w="110"/>
              <w:right w:type="dxa" w:w="160"/>
            </w:tcMar>
          </w:tcPr>
          <w:p>
            <w:pPr>
              <w:spacing w:after="60"/>
            </w:pPr>
            <w:r>
              <w:rPr>
                <w:b/>
                <w:bCs/>
                <w:color w:val="B07A12"/>
                <w:sz w:val="20"/>
                <w:szCs w:val="20"/>
              </w:rPr>
              <w:t xml:space="preserve">Important</w:t>
            </w:r>
          </w:p>
          <w:p>
            <w:pPr>
              <w:spacing w:after="40" w:line="268"/>
            </w:pPr>
            <w:r>
              <w:rPr>
                <w:color w:val="353535"/>
                <w:sz w:val="19"/>
                <w:szCs w:val="19"/>
              </w:rPr>
              <w:t xml:space="preserve">The date that matters is the date you incurred the expense, not the date you submit it. An expense you incur in December can be submitted in the new year during the runout period, but it still counts against the plan year in which you incurred it.</w:t>
            </w:r>
          </w:p>
        </w:tc>
      </w:tr>
    </w:tbl>
    <w:p>
      <w:pPr>
        <w:pStyle w:val="Heading1"/>
        <w:pBdr>
          <w:bottom w:val="single" w:color="BA0C2F" w:sz="6" w:space="4"/>
        </w:pBdr>
        <w:spacing w:after="150" w:before="340"/>
      </w:pPr>
      <w:r>
        <w:t xml:space="preserve">How Your WSA Is Taxed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CEE" w:sz="1"/>
              <w:left w:val="single" w:color="BA0C2F" w:sz="18"/>
              <w:bottom w:val="single" w:color="FBECEE" w:sz="1"/>
              <w:right w:val="single" w:color="FBECEE" w:sz="1"/>
            </w:tcBorders>
            <w:shd w:fill="FBECEE" w:val="clear"/>
            <w:tcMar>
              <w:top w:type="dxa" w:w="110"/>
              <w:left w:type="dxa" w:w="160"/>
              <w:bottom w:type="dxa" w:w="110"/>
              <w:right w:type="dxa" w:w="160"/>
            </w:tcMar>
          </w:tcPr>
          <w:p>
            <w:pPr>
              <w:spacing w:after="60"/>
            </w:pPr>
            <w:r>
              <w:rPr>
                <w:b/>
                <w:bCs/>
                <w:color w:val="8E0A24"/>
                <w:sz w:val="20"/>
                <w:szCs w:val="20"/>
              </w:rPr>
              <w:t xml:space="preserve">The key point</w:t>
            </w:r>
          </w:p>
          <w:p>
            <w:pPr>
              <w:spacing w:after="40" w:line="268"/>
            </w:pPr>
            <w:r>
              <w:rPr>
                <w:b/>
                <w:bCs/>
                <w:color w:val="8E0A24"/>
                <w:sz w:val="20"/>
                <w:szCs w:val="20"/>
              </w:rPr>
              <w:t xml:space="preserve">Money reimbursed from your WSA is a taxable benefit. </w:t>
            </w:r>
            <w:r>
              <w:rPr>
                <w:color w:val="353535"/>
                <w:sz w:val="20"/>
                <w:szCs w:val="20"/>
              </w:rPr>
              <w:t xml:space="preserve">It is added to your employment income and reported on your T4 each year, and on an RL-1 as well if you work in Quebec. This is different from a Health Care Spending Account, where eligible medical expenses are reimbursed tax-free.</w:t>
            </w:r>
          </w:p>
        </w:tc>
      </w:tr>
    </w:tbl>
    <w:p>
      <w:pPr>
        <w:pStyle w:val="Heading2"/>
        <w:spacing w:after="100" w:before="220"/>
      </w:pPr>
      <w:r>
        <w:t xml:space="preserve">Why a WSA is taxable</w:t>
      </w:r>
    </w:p>
    <w:p>
      <w:pPr>
        <w:spacing w:after="150" w:line="282"/>
      </w:pPr>
      <w:r>
        <w:rPr>
          <w:color w:val="4F4F4F"/>
          <w:sz w:val="21"/>
          <w:szCs w:val="21"/>
        </w:rPr>
        <w:t xml:space="preserve">A Wellness Spending Account covers lifestyle and wellness expenses rather than medical expenses. Under Canadian tax rules, only a plan that reimburses eligible medical expenses can do so tax-free. Because your WSA is broader than that, the Canada Revenue Agency treats your reimbursements as taxable income.</w:t>
      </w:r>
    </w:p>
    <w:p>
      <w:pPr>
        <w:pStyle w:val="Heading2"/>
        <w:spacing w:after="100" w:before="220"/>
      </w:pPr>
      <w:r>
        <w:t xml:space="preserve">What this means for you</w:t>
      </w:r>
    </w:p>
    <w:p>
      <w:pPr>
        <w:pStyle w:val="ListParagraph"/>
        <w:numPr>
          <w:ilvl w:val="0"/>
          <w:numId w:val="3"/>
        </w:numPr>
        <w:spacing w:after="80" w:line="272"/>
      </w:pPr>
      <w:r>
        <w:rPr>
          <w:b/>
          <w:bCs/>
          <w:color w:val="1F1F1F"/>
          <w:sz w:val="21"/>
          <w:szCs w:val="21"/>
        </w:rPr>
        <w:t xml:space="preserve">You are taxed only on what you claim. </w:t>
      </w:r>
      <w:r>
        <w:rPr>
          <w:color w:val="4F4F4F"/>
          <w:sz w:val="21"/>
          <w:szCs w:val="21"/>
        </w:rPr>
        <w:t xml:space="preserve">Credits you never use are not taxed. Only the amounts you are actually reimbursed are added to your income.</w:t>
      </w:r>
    </w:p>
    <w:p>
      <w:pPr>
        <w:pStyle w:val="ListParagraph"/>
        <w:numPr>
          <w:ilvl w:val="0"/>
          <w:numId w:val="3"/>
        </w:numPr>
        <w:spacing w:after="80" w:line="272"/>
      </w:pPr>
      <w:r>
        <w:rPr>
          <w:b/>
          <w:bCs/>
          <w:color w:val="1F1F1F"/>
          <w:sz w:val="21"/>
          <w:szCs w:val="21"/>
        </w:rPr>
        <w:t xml:space="preserve">Tax is usually applied through payroll. </w:t>
      </w:r>
      <w:r>
        <w:rPr>
          <w:color w:val="4F4F4F"/>
          <w:sz w:val="21"/>
          <w:szCs w:val="21"/>
        </w:rPr>
        <w:t xml:space="preserve">Your employer accounts for the tax on your reimbursements, typically through regular payroll, rather than deducting it from the reimbursement itself.</w:t>
      </w:r>
    </w:p>
    <w:p>
      <w:pPr>
        <w:pStyle w:val="ListParagraph"/>
        <w:numPr>
          <w:ilvl w:val="0"/>
          <w:numId w:val="3"/>
        </w:numPr>
        <w:spacing w:after="80" w:line="272"/>
      </w:pPr>
      <w:r>
        <w:rPr>
          <w:b/>
          <w:bCs/>
          <w:color w:val="1F1F1F"/>
          <w:sz w:val="21"/>
          <w:szCs w:val="21"/>
        </w:rPr>
        <w:t xml:space="preserve">Your $1 of credit is still worth claiming. </w:t>
      </w:r>
      <w:r>
        <w:rPr>
          <w:color w:val="4F4F4F"/>
          <w:sz w:val="21"/>
          <w:szCs w:val="21"/>
        </w:rPr>
        <w:t xml:space="preserve">A dollar of WSA credit pays for a dollar of eligible expense. After tax, the net value depends on your tax rate. For example, at a 30% rate, $1,000 of credit delivers roughly $700 of net benefit.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F0" w:sz="1"/>
              <w:left w:val="single" w:color="838271" w:sz="18"/>
              <w:bottom w:val="single" w:color="F3EEF0" w:sz="1"/>
              <w:right w:val="single" w:color="F3EEF0" w:sz="1"/>
            </w:tcBorders>
            <w:shd w:fill="F3EEF0" w:val="clear"/>
            <w:tcMar>
              <w:top w:type="dxa" w:w="110"/>
              <w:left w:type="dxa" w:w="160"/>
              <w:bottom w:type="dxa" w:w="110"/>
              <w:right w:type="dxa" w:w="160"/>
            </w:tcMar>
          </w:tcPr>
          <w:p>
            <w:pPr>
              <w:spacing w:after="60"/>
            </w:pPr>
            <w:r>
              <w:rPr>
                <w:b/>
                <w:bCs/>
                <w:color w:val="6A6A6A"/>
                <w:sz w:val="20"/>
                <w:szCs w:val="20"/>
              </w:rPr>
              <w:t xml:space="preserve">If you live in Quebec</w:t>
            </w:r>
          </w:p>
          <w:p>
            <w:pPr>
              <w:spacing w:after="40" w:line="268"/>
            </w:pPr>
            <w:r>
              <w:rPr>
                <w:color w:val="353535"/>
                <w:sz w:val="19"/>
                <w:szCs w:val="19"/>
              </w:rPr>
              <w:t xml:space="preserve">Quebec treats these reimbursements as taxable provincially as well. You will see the benefit reported on your RL-1 in addition to your federal T4. Questions about your personal tax situation are best directed to your plan administrator or a tax advisor.</w:t>
            </w:r>
          </w:p>
        </w:tc>
      </w:tr>
    </w:tbl>
    <w:p>
      <w:pPr>
        <w:pStyle w:val="Heading1"/>
        <w:pBdr>
          <w:bottom w:val="single" w:color="BA0C2F" w:sz="6" w:space="4"/>
        </w:pBdr>
        <w:spacing w:after="150" w:before="340"/>
      </w:pPr>
      <w:r>
        <w:t xml:space="preserve">What You Can Spend It On</w:t>
      </w:r>
    </w:p>
    <w:p>
      <w:pPr>
        <w:spacing w:after="150" w:line="282"/>
      </w:pPr>
      <w:r>
        <w:rPr>
          <w:color w:val="4F4F4F"/>
          <w:sz w:val="21"/>
          <w:szCs w:val="21"/>
        </w:rPr>
        <w:t xml:space="preserve">Your WSA covers the categories below. This is the standard list of eligible expenses. Your plan may include all of these categories or a selection of them, so if you are ever unsure whether something is covered, check your balance summary on the member site or contact member services before you buy.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F2" w:sz="1"/>
              <w:left w:val="single" w:color="1F6F6B" w:sz="18"/>
              <w:bottom w:val="single" w:color="EAF3F2" w:sz="1"/>
              <w:right w:val="single" w:color="EAF3F2" w:sz="1"/>
            </w:tcBorders>
            <w:shd w:fill="EAF3F2" w:val="clear"/>
            <w:tcMar>
              <w:top w:type="dxa" w:w="110"/>
              <w:left w:type="dxa" w:w="160"/>
              <w:bottom w:type="dxa" w:w="110"/>
              <w:right w:type="dxa" w:w="160"/>
            </w:tcMar>
          </w:tcPr>
          <w:p>
            <w:pPr>
              <w:spacing w:after="60"/>
            </w:pPr>
            <w:r>
              <w:rPr>
                <w:b/>
                <w:bCs/>
                <w:color w:val="1F6F6B"/>
                <w:sz w:val="20"/>
                <w:szCs w:val="20"/>
              </w:rPr>
              <w:t xml:space="preserve">A simple test</w:t>
            </w:r>
          </w:p>
          <w:p>
            <w:pPr>
              <w:spacing w:after="40" w:line="268"/>
            </w:pPr>
            <w:r>
              <w:rPr>
                <w:color w:val="353535"/>
                <w:sz w:val="19"/>
                <w:szCs w:val="19"/>
              </w:rPr>
              <w:t xml:space="preserve">If an expense is something you could claim as a medical expense, such as prescription drugs, physiotherapy, or dental work, it belongs under your health benefits or a Health Care Spending Account, not your WSA. Your WSA is for wellness and lifestyle expenses that are not medical.</w:t>
            </w:r>
          </w:p>
        </w:tc>
      </w:tr>
    </w:tbl>
    <w:p>
      <w:pPr>
        <w:pStyle w:val="Heading2"/>
        <w:spacing w:after="100" w:before="220"/>
      </w:pPr>
      <w:r>
        <w:t xml:space="preserve">1. Fitness and active living</w:t>
      </w:r>
    </w:p>
    <w:p>
      <w:pPr>
        <w:spacing w:after="150" w:line="282"/>
      </w:pPr>
      <w:r>
        <w:rPr>
          <w:color w:val="4F4F4F"/>
          <w:sz w:val="21"/>
          <w:szCs w:val="21"/>
        </w:rPr>
        <w:t xml:space="preserve">Activities, memberships, instruction, and equipment that keep you active.</w:t>
      </w:r>
    </w:p>
    <w:p>
      <w:pPr>
        <w:pStyle w:val="ListParagraph"/>
        <w:numPr>
          <w:ilvl w:val="0"/>
          <w:numId w:val="3"/>
        </w:numPr>
        <w:spacing w:after="80" w:line="272"/>
      </w:pPr>
      <w:r>
        <w:rPr>
          <w:color w:val="4F4F4F"/>
          <w:sz w:val="21"/>
          <w:szCs w:val="21"/>
        </w:rPr>
        <w:t xml:space="preserve">Gym, fitness club, and studio memberships, and virtual fitness classes.</w:t>
      </w:r>
    </w:p>
    <w:p>
      <w:pPr>
        <w:pStyle w:val="ListParagraph"/>
        <w:numPr>
          <w:ilvl w:val="0"/>
          <w:numId w:val="3"/>
        </w:numPr>
        <w:spacing w:after="80" w:line="272"/>
      </w:pPr>
      <w:r>
        <w:rPr>
          <w:color w:val="4F4F4F"/>
          <w:sz w:val="21"/>
          <w:szCs w:val="21"/>
        </w:rPr>
        <w:t xml:space="preserve">Fitness lessons and programs such as yoga, pilates, dance, martial arts, and swimming.</w:t>
      </w:r>
    </w:p>
    <w:p>
      <w:pPr>
        <w:pStyle w:val="ListParagraph"/>
        <w:numPr>
          <w:ilvl w:val="0"/>
          <w:numId w:val="3"/>
        </w:numPr>
        <w:spacing w:after="80" w:line="272"/>
      </w:pPr>
      <w:r>
        <w:rPr>
          <w:color w:val="4F4F4F"/>
          <w:sz w:val="21"/>
          <w:szCs w:val="21"/>
        </w:rPr>
        <w:t xml:space="preserve">Sports team and league fees, and registration for runs, walks, and races.</w:t>
      </w:r>
    </w:p>
    <w:p>
      <w:pPr>
        <w:pStyle w:val="ListParagraph"/>
        <w:numPr>
          <w:ilvl w:val="0"/>
          <w:numId w:val="3"/>
        </w:numPr>
        <w:spacing w:after="80" w:line="272"/>
      </w:pPr>
      <w:r>
        <w:rPr>
          <w:color w:val="4F4F4F"/>
          <w:sz w:val="21"/>
          <w:szCs w:val="21"/>
        </w:rPr>
        <w:t xml:space="preserve">Passes to athletic facilities such as golf courses, tennis and racquet clubs, ski hills, and climbing gyms.</w:t>
      </w:r>
    </w:p>
    <w:p>
      <w:pPr>
        <w:pStyle w:val="ListParagraph"/>
        <w:numPr>
          <w:ilvl w:val="0"/>
          <w:numId w:val="3"/>
        </w:numPr>
        <w:spacing w:after="80" w:line="272"/>
      </w:pPr>
      <w:r>
        <w:rPr>
          <w:color w:val="4F4F4F"/>
          <w:sz w:val="21"/>
          <w:szCs w:val="21"/>
        </w:rPr>
        <w:t xml:space="preserve">Personal trainers and fitness consultants.</w:t>
      </w:r>
    </w:p>
    <w:p>
      <w:pPr>
        <w:pStyle w:val="ListParagraph"/>
        <w:numPr>
          <w:ilvl w:val="0"/>
          <w:numId w:val="3"/>
        </w:numPr>
        <w:spacing w:after="80" w:line="272"/>
      </w:pPr>
      <w:r>
        <w:rPr>
          <w:color w:val="4F4F4F"/>
          <w:sz w:val="21"/>
          <w:szCs w:val="21"/>
        </w:rPr>
        <w:t xml:space="preserve">Fitness equipment such as treadmills, stationary bikes, and weights.</w:t>
      </w:r>
    </w:p>
    <w:p>
      <w:pPr>
        <w:pStyle w:val="ListParagraph"/>
        <w:numPr>
          <w:ilvl w:val="0"/>
          <w:numId w:val="3"/>
        </w:numPr>
        <w:spacing w:after="80" w:line="272"/>
      </w:pPr>
      <w:r>
        <w:rPr>
          <w:color w:val="4F4F4F"/>
          <w:sz w:val="21"/>
          <w:szCs w:val="21"/>
        </w:rPr>
        <w:t xml:space="preserve">Sports equipment such as skates, bicycles, rackets, and clubs, and athletic footwear and apparel.</w:t>
      </w:r>
    </w:p>
    <w:p>
      <w:pPr>
        <w:pStyle w:val="ListParagraph"/>
        <w:numPr>
          <w:ilvl w:val="0"/>
          <w:numId w:val="3"/>
        </w:numPr>
        <w:spacing w:after="80" w:line="272"/>
      </w:pPr>
      <w:r>
        <w:rPr>
          <w:color w:val="4F4F4F"/>
          <w:sz w:val="21"/>
          <w:szCs w:val="21"/>
        </w:rPr>
        <w:t xml:space="preserve">Activity trackers, smartwatches, and heart-rate monitors.</w:t>
      </w:r>
    </w:p>
    <w:p>
      <w:pPr>
        <w:pStyle w:val="ListParagraph"/>
        <w:numPr>
          <w:ilvl w:val="0"/>
          <w:numId w:val="3"/>
        </w:numPr>
        <w:spacing w:after="80" w:line="272"/>
      </w:pPr>
      <w:r>
        <w:rPr>
          <w:color w:val="4F4F4F"/>
          <w:sz w:val="21"/>
          <w:szCs w:val="21"/>
        </w:rPr>
        <w:t xml:space="preserve">Recreational licences such as fishing and hunting licences, and park and trail passes.</w:t>
      </w:r>
    </w:p>
    <w:p>
      <w:pPr>
        <w:pStyle w:val="Heading2"/>
        <w:spacing w:after="100" w:before="220"/>
      </w:pPr>
      <w:r>
        <w:t xml:space="preserve">2. Nutrition and healthy living</w:t>
      </w:r>
    </w:p>
    <w:p>
      <w:pPr>
        <w:spacing w:after="150" w:line="282"/>
      </w:pPr>
      <w:r>
        <w:rPr>
          <w:color w:val="4F4F4F"/>
          <w:sz w:val="21"/>
          <w:szCs w:val="21"/>
        </w:rPr>
        <w:t xml:space="preserve">Programs, guidance, and products that support nutrition and everyday health.</w:t>
      </w:r>
    </w:p>
    <w:p>
      <w:pPr>
        <w:pStyle w:val="ListParagraph"/>
        <w:numPr>
          <w:ilvl w:val="0"/>
          <w:numId w:val="3"/>
        </w:numPr>
        <w:spacing w:after="80" w:line="272"/>
      </w:pPr>
      <w:r>
        <w:rPr>
          <w:color w:val="4F4F4F"/>
          <w:sz w:val="21"/>
          <w:szCs w:val="21"/>
        </w:rPr>
        <w:t xml:space="preserve">Weight-management programs (the program fee, not the food itself).</w:t>
      </w:r>
    </w:p>
    <w:p>
      <w:pPr>
        <w:pStyle w:val="ListParagraph"/>
        <w:numPr>
          <w:ilvl w:val="0"/>
          <w:numId w:val="3"/>
        </w:numPr>
        <w:spacing w:after="80" w:line="272"/>
      </w:pPr>
      <w:r>
        <w:rPr>
          <w:color w:val="4F4F4F"/>
          <w:sz w:val="21"/>
          <w:szCs w:val="21"/>
        </w:rPr>
        <w:t xml:space="preserve">Nutrition counselling and programs.</w:t>
      </w:r>
    </w:p>
    <w:p>
      <w:pPr>
        <w:pStyle w:val="ListParagraph"/>
        <w:numPr>
          <w:ilvl w:val="0"/>
          <w:numId w:val="3"/>
        </w:numPr>
        <w:spacing w:after="80" w:line="272"/>
      </w:pPr>
      <w:r>
        <w:rPr>
          <w:color w:val="4F4F4F"/>
          <w:sz w:val="21"/>
          <w:szCs w:val="21"/>
        </w:rPr>
        <w:t xml:space="preserve">Health screenings such as cholesterol and blood-pressure checks.</w:t>
      </w:r>
    </w:p>
    <w:p>
      <w:pPr>
        <w:pStyle w:val="ListParagraph"/>
        <w:numPr>
          <w:ilvl w:val="0"/>
          <w:numId w:val="3"/>
        </w:numPr>
        <w:spacing w:after="80" w:line="272"/>
      </w:pPr>
      <w:r>
        <w:rPr>
          <w:color w:val="4F4F4F"/>
          <w:sz w:val="21"/>
          <w:szCs w:val="21"/>
        </w:rPr>
        <w:t xml:space="preserve">Smoking-cessation programs and products.</w:t>
      </w:r>
    </w:p>
    <w:p>
      <w:pPr>
        <w:pStyle w:val="ListParagraph"/>
        <w:numPr>
          <w:ilvl w:val="0"/>
          <w:numId w:val="3"/>
        </w:numPr>
        <w:spacing w:after="80" w:line="272"/>
      </w:pPr>
      <w:r>
        <w:rPr>
          <w:color w:val="4F4F4F"/>
          <w:sz w:val="21"/>
          <w:szCs w:val="21"/>
        </w:rPr>
        <w:t xml:space="preserve">Vitamins, supplements, and herbal products, and blenders or juicers.</w:t>
      </w:r>
    </w:p>
    <w:p>
      <w:pPr>
        <w:pStyle w:val="ListParagraph"/>
        <w:numPr>
          <w:ilvl w:val="0"/>
          <w:numId w:val="3"/>
        </w:numPr>
        <w:spacing w:after="80" w:line="272"/>
      </w:pPr>
      <w:r>
        <w:rPr>
          <w:color w:val="4F4F4F"/>
          <w:sz w:val="21"/>
          <w:szCs w:val="21"/>
        </w:rPr>
        <w:t xml:space="preserve">Stress-management programs and first-aid or CPR training.</w:t>
      </w:r>
    </w:p>
    <w:p>
      <w:pPr>
        <w:pStyle w:val="ListParagraph"/>
        <w:numPr>
          <w:ilvl w:val="0"/>
          <w:numId w:val="3"/>
        </w:numPr>
        <w:spacing w:after="80" w:line="272"/>
      </w:pPr>
      <w:r>
        <w:rPr>
          <w:color w:val="4F4F4F"/>
          <w:sz w:val="21"/>
          <w:szCs w:val="21"/>
        </w:rPr>
        <w:t xml:space="preserve">Sleep aids such as orthopaedic pillows, white-noise machines, and blackout blinds.</w:t>
      </w:r>
    </w:p>
    <w:p>
      <w:pPr>
        <w:pStyle w:val="Heading2"/>
        <w:spacing w:after="100" w:before="220"/>
      </w:pPr>
      <w:r>
        <w:t xml:space="preserve">3. Mental wellness</w:t>
      </w:r>
    </w:p>
    <w:p>
      <w:pPr>
        <w:spacing w:after="150" w:line="282"/>
      </w:pPr>
      <w:r>
        <w:rPr>
          <w:color w:val="4F4F4F"/>
          <w:sz w:val="21"/>
          <w:szCs w:val="21"/>
        </w:rPr>
        <w:t xml:space="preserve">Tools and services that support your mental wellbeing and are not claimable as medical expenses.</w:t>
      </w:r>
    </w:p>
    <w:p>
      <w:pPr>
        <w:pStyle w:val="ListParagraph"/>
        <w:numPr>
          <w:ilvl w:val="0"/>
          <w:numId w:val="3"/>
        </w:numPr>
        <w:spacing w:after="80" w:line="272"/>
      </w:pPr>
      <w:r>
        <w:rPr>
          <w:color w:val="4F4F4F"/>
          <w:sz w:val="21"/>
          <w:szCs w:val="21"/>
        </w:rPr>
        <w:t xml:space="preserve">Meditation and mindfulness apps and subscriptions.</w:t>
      </w:r>
    </w:p>
    <w:p>
      <w:pPr>
        <w:pStyle w:val="ListParagraph"/>
        <w:numPr>
          <w:ilvl w:val="0"/>
          <w:numId w:val="3"/>
        </w:numPr>
        <w:spacing w:after="80" w:line="272"/>
      </w:pPr>
      <w:r>
        <w:rPr>
          <w:color w:val="4F4F4F"/>
          <w:sz w:val="21"/>
          <w:szCs w:val="21"/>
        </w:rPr>
        <w:t xml:space="preserve">Counselling that is not claimable as a medical expense.</w:t>
      </w:r>
    </w:p>
    <w:p>
      <w:pPr>
        <w:pStyle w:val="ListParagraph"/>
        <w:numPr>
          <w:ilvl w:val="0"/>
          <w:numId w:val="3"/>
        </w:numPr>
        <w:spacing w:after="80" w:line="272"/>
      </w:pPr>
      <w:r>
        <w:rPr>
          <w:color w:val="4F4F4F"/>
          <w:sz w:val="21"/>
          <w:szCs w:val="21"/>
        </w:rPr>
        <w:t xml:space="preserve">Life coaching and stress-management services.</w:t>
      </w:r>
    </w:p>
    <w:p>
      <w:pPr>
        <w:pStyle w:val="ListParagraph"/>
        <w:numPr>
          <w:ilvl w:val="0"/>
          <w:numId w:val="3"/>
        </w:numPr>
        <w:spacing w:after="80" w:line="272"/>
      </w:pPr>
      <w:r>
        <w:rPr>
          <w:color w:val="4F4F4F"/>
          <w:sz w:val="21"/>
          <w:szCs w:val="21"/>
        </w:rPr>
        <w:t xml:space="preserve">Wellness retreat program fees (the program, not travel or accommodation).</w:t>
      </w:r>
    </w:p>
    <w:p>
      <w:pPr>
        <w:pStyle w:val="ListParagraph"/>
        <w:numPr>
          <w:ilvl w:val="0"/>
          <w:numId w:val="3"/>
        </w:numPr>
        <w:spacing w:after="80" w:line="272"/>
      </w:pPr>
      <w:r>
        <w:rPr>
          <w:color w:val="4F4F4F"/>
          <w:sz w:val="21"/>
          <w:szCs w:val="21"/>
        </w:rPr>
        <w:t xml:space="preserve">Financial counselling and coaching.</w:t>
      </w:r>
    </w:p>
    <w:p>
      <w:pPr>
        <w:pStyle w:val="Heading2"/>
        <w:spacing w:after="100" w:before="220"/>
      </w:pPr>
      <w:r>
        <w:t xml:space="preserve">4. Family and work-life balance</w:t>
      </w:r>
    </w:p>
    <w:p>
      <w:pPr>
        <w:spacing w:after="150" w:line="282"/>
      </w:pPr>
      <w:r>
        <w:rPr>
          <w:color w:val="4F4F4F"/>
          <w:sz w:val="21"/>
          <w:szCs w:val="21"/>
        </w:rPr>
        <w:t xml:space="preserve">Help with the responsibilities of daily and family life.</w:t>
      </w:r>
    </w:p>
    <w:p>
      <w:pPr>
        <w:pStyle w:val="ListParagraph"/>
        <w:numPr>
          <w:ilvl w:val="0"/>
          <w:numId w:val="3"/>
        </w:numPr>
        <w:spacing w:after="80" w:line="272"/>
      </w:pPr>
      <w:r>
        <w:rPr>
          <w:color w:val="4F4F4F"/>
          <w:sz w:val="21"/>
          <w:szCs w:val="21"/>
        </w:rPr>
        <w:t xml:space="preserve">Childcare, including learning materials.</w:t>
      </w:r>
    </w:p>
    <w:p>
      <w:pPr>
        <w:pStyle w:val="ListParagraph"/>
        <w:numPr>
          <w:ilvl w:val="0"/>
          <w:numId w:val="3"/>
        </w:numPr>
        <w:spacing w:after="80" w:line="272"/>
      </w:pPr>
      <w:r>
        <w:rPr>
          <w:color w:val="4F4F4F"/>
          <w:sz w:val="21"/>
          <w:szCs w:val="21"/>
        </w:rPr>
        <w:t xml:space="preserve">Elder care.</w:t>
      </w:r>
    </w:p>
    <w:p>
      <w:pPr>
        <w:pStyle w:val="ListParagraph"/>
        <w:numPr>
          <w:ilvl w:val="0"/>
          <w:numId w:val="3"/>
        </w:numPr>
        <w:spacing w:after="80" w:line="272"/>
      </w:pPr>
      <w:r>
        <w:rPr>
          <w:color w:val="4F4F4F"/>
          <w:sz w:val="21"/>
          <w:szCs w:val="21"/>
        </w:rPr>
        <w:t xml:space="preserve">Pet care such as boarding, training, dog walking, and veterinary fees, and pet insurance.</w:t>
      </w:r>
    </w:p>
    <w:p>
      <w:pPr>
        <w:pStyle w:val="ListParagraph"/>
        <w:numPr>
          <w:ilvl w:val="0"/>
          <w:numId w:val="3"/>
        </w:numPr>
        <w:spacing w:after="80" w:line="272"/>
      </w:pPr>
      <w:r>
        <w:rPr>
          <w:color w:val="4F4F4F"/>
          <w:sz w:val="21"/>
          <w:szCs w:val="21"/>
        </w:rPr>
        <w:t xml:space="preserve">Home services such as cleaning, snow removal, landscaping, and moving.</w:t>
      </w:r>
    </w:p>
    <w:p>
      <w:pPr>
        <w:pStyle w:val="ListParagraph"/>
        <w:numPr>
          <w:ilvl w:val="0"/>
          <w:numId w:val="3"/>
        </w:numPr>
        <w:spacing w:after="80" w:line="272"/>
      </w:pPr>
      <w:r>
        <w:rPr>
          <w:color w:val="4F4F4F"/>
          <w:sz w:val="21"/>
          <w:szCs w:val="21"/>
        </w:rPr>
        <w:t xml:space="preserve">Meal or grocery delivery service fees (the fee, not the food).</w:t>
      </w:r>
    </w:p>
    <w:p>
      <w:pPr>
        <w:pStyle w:val="Heading2"/>
        <w:spacing w:after="100" w:before="220"/>
      </w:pPr>
      <w:r>
        <w:t xml:space="preserve">5. Learning and development</w:t>
      </w:r>
    </w:p>
    <w:p>
      <w:pPr>
        <w:spacing w:after="150" w:line="282"/>
      </w:pPr>
      <w:r>
        <w:rPr>
          <w:color w:val="4F4F4F"/>
          <w:sz w:val="21"/>
          <w:szCs w:val="21"/>
        </w:rPr>
        <w:t xml:space="preserve">Courses, memberships, and materials that help you grow.</w:t>
      </w:r>
    </w:p>
    <w:p>
      <w:pPr>
        <w:pStyle w:val="ListParagraph"/>
        <w:numPr>
          <w:ilvl w:val="0"/>
          <w:numId w:val="3"/>
        </w:numPr>
        <w:spacing w:after="80" w:line="272"/>
      </w:pPr>
      <w:r>
        <w:rPr>
          <w:color w:val="4F4F4F"/>
          <w:sz w:val="21"/>
          <w:szCs w:val="21"/>
        </w:rPr>
        <w:t xml:space="preserve">Tuition for college, university, and continuing education, including books and supplies.</w:t>
      </w:r>
    </w:p>
    <w:p>
      <w:pPr>
        <w:pStyle w:val="ListParagraph"/>
        <w:numPr>
          <w:ilvl w:val="0"/>
          <w:numId w:val="3"/>
        </w:numPr>
        <w:spacing w:after="80" w:line="272"/>
      </w:pPr>
      <w:r>
        <w:rPr>
          <w:color w:val="4F4F4F"/>
          <w:sz w:val="21"/>
          <w:szCs w:val="21"/>
        </w:rPr>
        <w:t xml:space="preserve">Language lessons and tutoring.</w:t>
      </w:r>
    </w:p>
    <w:p>
      <w:pPr>
        <w:pStyle w:val="ListParagraph"/>
        <w:numPr>
          <w:ilvl w:val="0"/>
          <w:numId w:val="3"/>
        </w:numPr>
        <w:spacing w:after="80" w:line="272"/>
      </w:pPr>
      <w:r>
        <w:rPr>
          <w:color w:val="4F4F4F"/>
          <w:sz w:val="21"/>
          <w:szCs w:val="21"/>
        </w:rPr>
        <w:t xml:space="preserve">Professional membership fees and designation renewals.</w:t>
      </w:r>
    </w:p>
    <w:p>
      <w:pPr>
        <w:pStyle w:val="ListParagraph"/>
        <w:numPr>
          <w:ilvl w:val="0"/>
          <w:numId w:val="3"/>
        </w:numPr>
        <w:spacing w:after="80" w:line="272"/>
      </w:pPr>
      <w:r>
        <w:rPr>
          <w:color w:val="4F4F4F"/>
          <w:sz w:val="21"/>
          <w:szCs w:val="21"/>
        </w:rPr>
        <w:t xml:space="preserve">Hobby and general-interest classes, and online courses from recognized providers.</w:t>
      </w:r>
    </w:p>
    <w:p>
      <w:pPr>
        <w:pStyle w:val="ListParagraph"/>
        <w:numPr>
          <w:ilvl w:val="0"/>
          <w:numId w:val="3"/>
        </w:numPr>
        <w:spacing w:after="80" w:line="272"/>
      </w:pPr>
      <w:r>
        <w:rPr>
          <w:color w:val="4F4F4F"/>
          <w:sz w:val="21"/>
          <w:szCs w:val="21"/>
        </w:rPr>
        <w:t xml:space="preserve">Conference and seminar registration.</w:t>
      </w:r>
    </w:p>
    <w:p>
      <w:pPr>
        <w:pStyle w:val="ListParagraph"/>
        <w:numPr>
          <w:ilvl w:val="0"/>
          <w:numId w:val="3"/>
        </w:numPr>
        <w:spacing w:after="80" w:line="272"/>
      </w:pPr>
      <w:r>
        <w:rPr>
          <w:color w:val="4F4F4F"/>
          <w:sz w:val="21"/>
          <w:szCs w:val="21"/>
        </w:rPr>
        <w:t xml:space="preserve">Books, subscriptions, and e-readers.</w:t>
      </w:r>
    </w:p>
    <w:p>
      <w:pPr>
        <w:pStyle w:val="Heading2"/>
        <w:spacing w:after="100" w:before="220"/>
      </w:pPr>
      <w:r>
        <w:t xml:space="preserve">6. Health, safety, and home office</w:t>
      </w:r>
    </w:p>
    <w:p>
      <w:pPr>
        <w:spacing w:after="150" w:line="282"/>
      </w:pPr>
      <w:r>
        <w:rPr>
          <w:color w:val="4F4F4F"/>
          <w:sz w:val="21"/>
          <w:szCs w:val="21"/>
        </w:rPr>
        <w:t xml:space="preserve">Equipment that keeps you safe and comfortable at home and at work.</w:t>
      </w:r>
    </w:p>
    <w:p>
      <w:pPr>
        <w:pStyle w:val="ListParagraph"/>
        <w:numPr>
          <w:ilvl w:val="0"/>
          <w:numId w:val="3"/>
        </w:numPr>
        <w:spacing w:after="80" w:line="272"/>
      </w:pPr>
      <w:r>
        <w:rPr>
          <w:color w:val="4F4F4F"/>
          <w:sz w:val="21"/>
          <w:szCs w:val="21"/>
        </w:rPr>
        <w:t xml:space="preserve">Ergonomic chairs, desks, and sit-stand desks.</w:t>
      </w:r>
    </w:p>
    <w:p>
      <w:pPr>
        <w:pStyle w:val="ListParagraph"/>
        <w:numPr>
          <w:ilvl w:val="0"/>
          <w:numId w:val="3"/>
        </w:numPr>
        <w:spacing w:after="80" w:line="272"/>
      </w:pPr>
      <w:r>
        <w:rPr>
          <w:color w:val="4F4F4F"/>
          <w:sz w:val="21"/>
          <w:szCs w:val="21"/>
        </w:rPr>
        <w:t xml:space="preserve">Home-office equipment and secure document shredding.</w:t>
      </w:r>
    </w:p>
    <w:p>
      <w:pPr>
        <w:pStyle w:val="ListParagraph"/>
        <w:numPr>
          <w:ilvl w:val="0"/>
          <w:numId w:val="3"/>
        </w:numPr>
        <w:spacing w:after="80" w:line="272"/>
      </w:pPr>
      <w:r>
        <w:rPr>
          <w:color w:val="4F4F4F"/>
          <w:sz w:val="21"/>
          <w:szCs w:val="21"/>
        </w:rPr>
        <w:t xml:space="preserve">Personal protective equipment and basic safety gear such as safety boots and eye protection.</w:t>
      </w:r>
    </w:p>
    <w:p>
      <w:pPr>
        <w:pStyle w:val="ListParagraph"/>
        <w:numPr>
          <w:ilvl w:val="0"/>
          <w:numId w:val="3"/>
        </w:numPr>
        <w:spacing w:after="80" w:line="272"/>
      </w:pPr>
      <w:r>
        <w:rPr>
          <w:color w:val="4F4F4F"/>
          <w:sz w:val="21"/>
          <w:szCs w:val="21"/>
        </w:rPr>
        <w:t xml:space="preserve">Smoke and carbon-monoxide detectors, and fire extinguishers.</w:t>
      </w:r>
    </w:p>
    <w:p>
      <w:pPr>
        <w:pStyle w:val="ListParagraph"/>
        <w:numPr>
          <w:ilvl w:val="0"/>
          <w:numId w:val="3"/>
        </w:numPr>
        <w:spacing w:after="80" w:line="272"/>
      </w:pPr>
      <w:r>
        <w:rPr>
          <w:color w:val="4F4F4F"/>
          <w:sz w:val="21"/>
          <w:szCs w:val="21"/>
        </w:rPr>
        <w:t xml:space="preserve">Home security systems.</w:t>
      </w:r>
    </w:p>
    <w:p>
      <w:pPr>
        <w:pStyle w:val="ListParagraph"/>
        <w:numPr>
          <w:ilvl w:val="0"/>
          <w:numId w:val="3"/>
        </w:numPr>
        <w:spacing w:after="80" w:line="272"/>
      </w:pPr>
      <w:r>
        <w:rPr>
          <w:color w:val="4F4F4F"/>
          <w:sz w:val="21"/>
          <w:szCs w:val="21"/>
        </w:rPr>
        <w:t xml:space="preserve">Outdoor safety gear such as life jackets and bear spray.</w:t>
      </w:r>
    </w:p>
    <w:p>
      <w:pPr>
        <w:pStyle w:val="Heading2"/>
        <w:spacing w:after="100" w:before="220"/>
      </w:pPr>
      <w:r>
        <w:t xml:space="preserve">7. Preventive and alternative wellness</w:t>
      </w:r>
    </w:p>
    <w:p>
      <w:pPr>
        <w:spacing w:after="150" w:line="282"/>
      </w:pPr>
      <w:r>
        <w:rPr>
          <w:color w:val="4F4F4F"/>
          <w:sz w:val="21"/>
          <w:szCs w:val="21"/>
        </w:rPr>
        <w:t xml:space="preserve">Wellness services covered only when they are not claimable as medical expenses and not covered by your health plan.</w:t>
      </w:r>
    </w:p>
    <w:p>
      <w:pPr>
        <w:pStyle w:val="ListParagraph"/>
        <w:numPr>
          <w:ilvl w:val="0"/>
          <w:numId w:val="3"/>
        </w:numPr>
        <w:spacing w:after="80" w:line="272"/>
      </w:pPr>
      <w:r>
        <w:rPr>
          <w:color w:val="4F4F4F"/>
          <w:sz w:val="21"/>
          <w:szCs w:val="21"/>
        </w:rPr>
        <w:t xml:space="preserve">Massage, acupuncture, naturopathy, and similar services, covered under the WSA only when they are not claimable as a medical expense and not paid by your health benefits.</w:t>
      </w:r>
    </w:p>
    <w:p>
      <w:pPr>
        <w:pStyle w:val="Heading2"/>
        <w:spacing w:after="100" w:before="220"/>
      </w:pPr>
      <w:r>
        <w:t xml:space="preserve">8. Financial and professional services</w:t>
      </w:r>
    </w:p>
    <w:p>
      <w:pPr>
        <w:spacing w:after="150" w:line="282"/>
      </w:pPr>
      <w:r>
        <w:rPr>
          <w:color w:val="4F4F4F"/>
          <w:sz w:val="21"/>
          <w:szCs w:val="21"/>
        </w:rPr>
        <w:t xml:space="preserve">Where your plan includes this category, certain financial and professional services qualify.</w:t>
      </w:r>
    </w:p>
    <w:p>
      <w:pPr>
        <w:pStyle w:val="ListParagraph"/>
        <w:numPr>
          <w:ilvl w:val="0"/>
          <w:numId w:val="3"/>
        </w:numPr>
        <w:spacing w:after="80" w:line="272"/>
      </w:pPr>
      <w:r>
        <w:rPr>
          <w:color w:val="4F4F4F"/>
          <w:sz w:val="21"/>
          <w:szCs w:val="21"/>
        </w:rPr>
        <w:t xml:space="preserve">Contributions to an RRSP, RESP, TFSA, or RDSP, and pension buy-backs.</w:t>
      </w:r>
    </w:p>
    <w:p>
      <w:pPr>
        <w:pStyle w:val="ListParagraph"/>
        <w:numPr>
          <w:ilvl w:val="0"/>
          <w:numId w:val="3"/>
        </w:numPr>
        <w:spacing w:after="80" w:line="272"/>
      </w:pPr>
      <w:r>
        <w:rPr>
          <w:color w:val="4F4F4F"/>
          <w:sz w:val="21"/>
          <w:szCs w:val="21"/>
        </w:rPr>
        <w:t xml:space="preserve">Estate planning, financial counselling, and tax-return preparation.</w:t>
      </w:r>
    </w:p>
    <w:p>
      <w:pPr>
        <w:pStyle w:val="ListParagraph"/>
        <w:numPr>
          <w:ilvl w:val="0"/>
          <w:numId w:val="3"/>
        </w:numPr>
        <w:spacing w:after="80" w:line="272"/>
      </w:pPr>
      <w:r>
        <w:rPr>
          <w:color w:val="4F4F4F"/>
          <w:sz w:val="21"/>
          <w:szCs w:val="21"/>
        </w:rPr>
        <w:t xml:space="preserve">Legal fees such as preparing a will or a home purchase.</w:t>
      </w:r>
    </w:p>
    <w:p>
      <w:pPr>
        <w:pStyle w:val="ListParagraph"/>
        <w:numPr>
          <w:ilvl w:val="0"/>
          <w:numId w:val="3"/>
        </w:numPr>
        <w:spacing w:after="80" w:line="272"/>
      </w:pPr>
      <w:r>
        <w:rPr>
          <w:color w:val="4F4F4F"/>
          <w:sz w:val="21"/>
          <w:szCs w:val="21"/>
        </w:rPr>
        <w:t xml:space="preserve">Certain insurance premiums such as life, critical illness, or pet insurance.</w:t>
      </w:r>
    </w:p>
    <w:p>
      <w:pPr>
        <w:pStyle w:val="ListParagraph"/>
        <w:numPr>
          <w:ilvl w:val="0"/>
          <w:numId w:val="3"/>
        </w:numPr>
        <w:spacing w:after="80" w:line="272"/>
      </w:pPr>
      <w:r>
        <w:rPr>
          <w:color w:val="4F4F4F"/>
          <w:sz w:val="21"/>
          <w:szCs w:val="21"/>
        </w:rPr>
        <w:t xml:space="preserve">Green-living items in some plans, such as transit passes and energy-efficient products.</w:t>
      </w:r>
    </w:p>
    <w:p>
      <w:pPr>
        <w:pStyle w:val="Heading1"/>
        <w:pBdr>
          <w:bottom w:val="single" w:color="BA0C2F" w:sz="6" w:space="4"/>
        </w:pBdr>
        <w:spacing w:after="150" w:before="340"/>
      </w:pPr>
      <w:r>
        <w:t xml:space="preserve">What Is Not Covered</w:t>
      </w:r>
    </w:p>
    <w:p>
      <w:pPr>
        <w:spacing w:after="150" w:line="282"/>
      </w:pPr>
      <w:r>
        <w:rPr>
          <w:color w:val="4F4F4F"/>
          <w:sz w:val="21"/>
          <w:szCs w:val="21"/>
        </w:rPr>
        <w:t xml:space="preserve">Some expenses cannot be claimed from your WSA. Where an expense belongs under your health benefits instead, submit it there rather than to your WSA.</w:t>
      </w:r>
    </w:p>
    <w:p>
      <w:pPr>
        <w:pStyle w:val="ListParagraph"/>
        <w:numPr>
          <w:ilvl w:val="0"/>
          <w:numId w:val="3"/>
        </w:numPr>
        <w:spacing w:after="80" w:line="272"/>
      </w:pPr>
      <w:r>
        <w:rPr>
          <w:color w:val="4F4F4F"/>
          <w:sz w:val="21"/>
          <w:szCs w:val="21"/>
        </w:rPr>
        <w:t xml:space="preserve">Medical expenses that you can claim under your health benefits or a Health Care Spending Account, such as prescription drugs, physiotherapy, dental work, and prescription eyewear.</w:t>
      </w:r>
    </w:p>
    <w:p>
      <w:pPr>
        <w:pStyle w:val="ListParagraph"/>
        <w:numPr>
          <w:ilvl w:val="0"/>
          <w:numId w:val="3"/>
        </w:numPr>
        <w:spacing w:after="80" w:line="272"/>
      </w:pPr>
      <w:r>
        <w:rPr>
          <w:color w:val="4F4F4F"/>
          <w:sz w:val="21"/>
          <w:szCs w:val="21"/>
        </w:rPr>
        <w:t xml:space="preserve">The cost of food itself, even where a related program or delivery fee is eligible (for example, groceries in a weight-management or meal-delivery program).</w:t>
      </w:r>
    </w:p>
    <w:p>
      <w:pPr>
        <w:pStyle w:val="ListParagraph"/>
        <w:numPr>
          <w:ilvl w:val="0"/>
          <w:numId w:val="3"/>
        </w:numPr>
        <w:spacing w:after="80" w:line="272"/>
      </w:pPr>
      <w:r>
        <w:rPr>
          <w:color w:val="4F4F4F"/>
          <w:sz w:val="21"/>
          <w:szCs w:val="21"/>
        </w:rPr>
        <w:t xml:space="preserve">Travel and accommodation connected to a retreat, conference, or coaching, even when the program fee itself is eligible.</w:t>
      </w:r>
    </w:p>
    <w:p>
      <w:pPr>
        <w:pStyle w:val="ListParagraph"/>
        <w:numPr>
          <w:ilvl w:val="0"/>
          <w:numId w:val="3"/>
        </w:numPr>
        <w:spacing w:after="80" w:line="272"/>
      </w:pPr>
      <w:r>
        <w:rPr>
          <w:color w:val="4F4F4F"/>
          <w:sz w:val="21"/>
          <w:szCs w:val="21"/>
        </w:rPr>
        <w:t xml:space="preserve">General retail purchases and groceries.</w:t>
      </w:r>
    </w:p>
    <w:p>
      <w:pPr>
        <w:pStyle w:val="ListParagraph"/>
        <w:numPr>
          <w:ilvl w:val="0"/>
          <w:numId w:val="3"/>
        </w:numPr>
        <w:spacing w:after="80" w:line="272"/>
      </w:pPr>
      <w:r>
        <w:rPr>
          <w:color w:val="4F4F4F"/>
          <w:sz w:val="21"/>
          <w:szCs w:val="21"/>
        </w:rPr>
        <w:t xml:space="preserve">Alcohol and tobacco products.</w:t>
      </w:r>
    </w:p>
    <w:p>
      <w:pPr>
        <w:pStyle w:val="ListParagraph"/>
        <w:numPr>
          <w:ilvl w:val="0"/>
          <w:numId w:val="3"/>
        </w:numPr>
        <w:spacing w:after="80" w:line="272"/>
      </w:pPr>
      <w:r>
        <w:rPr>
          <w:color w:val="4F4F4F"/>
          <w:sz w:val="21"/>
          <w:szCs w:val="21"/>
        </w:rPr>
        <w:t xml:space="preserve">Cosmetics and general toiletries.</w:t>
      </w:r>
    </w:p>
    <w:p>
      <w:pPr>
        <w:pStyle w:val="ListParagraph"/>
        <w:numPr>
          <w:ilvl w:val="0"/>
          <w:numId w:val="3"/>
        </w:numPr>
        <w:spacing w:after="80" w:line="272"/>
      </w:pPr>
      <w:r>
        <w:rPr>
          <w:color w:val="4F4F4F"/>
          <w:sz w:val="21"/>
          <w:szCs w:val="21"/>
        </w:rPr>
        <w:t xml:space="preserve">Gift cards and gift certificates, and purchases you later pay for with a gift card.</w:t>
      </w:r>
    </w:p>
    <w:p>
      <w:pPr>
        <w:pStyle w:val="ListParagraph"/>
        <w:numPr>
          <w:ilvl w:val="0"/>
          <w:numId w:val="3"/>
        </w:numPr>
        <w:spacing w:after="80" w:line="272"/>
      </w:pPr>
      <w:r>
        <w:rPr>
          <w:color w:val="4F4F4F"/>
          <w:sz w:val="21"/>
          <w:szCs w:val="21"/>
        </w:rPr>
        <w:t xml:space="preserve">Expenses for people who are not covered under your plan.</w:t>
      </w:r>
    </w:p>
    <w:p>
      <w:pPr>
        <w:pStyle w:val="ListParagraph"/>
        <w:numPr>
          <w:ilvl w:val="0"/>
          <w:numId w:val="3"/>
        </w:numPr>
        <w:spacing w:after="80" w:line="272"/>
      </w:pPr>
      <w:r>
        <w:rPr>
          <w:color w:val="4F4F4F"/>
          <w:sz w:val="21"/>
          <w:szCs w:val="21"/>
        </w:rPr>
        <w:t xml:space="preserve">Expenses incurred before your coverage started or outside the plan year and runout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F2" w:sz="1"/>
              <w:left w:val="single" w:color="1F6F6B" w:sz="18"/>
              <w:bottom w:val="single" w:color="EAF3F2" w:sz="1"/>
              <w:right w:val="single" w:color="EAF3F2" w:sz="1"/>
            </w:tcBorders>
            <w:shd w:fill="EAF3F2" w:val="clear"/>
            <w:tcMar>
              <w:top w:type="dxa" w:w="110"/>
              <w:left w:type="dxa" w:w="160"/>
              <w:bottom w:type="dxa" w:w="110"/>
              <w:right w:type="dxa" w:w="160"/>
            </w:tcMar>
          </w:tcPr>
          <w:p>
            <w:pPr>
              <w:spacing w:after="60"/>
            </w:pPr>
            <w:r>
              <w:rPr>
                <w:b/>
                <w:bCs/>
                <w:color w:val="1F6F6B"/>
                <w:sz w:val="20"/>
                <w:szCs w:val="20"/>
              </w:rPr>
              <w:t xml:space="preserve">Good to know</w:t>
            </w:r>
          </w:p>
          <w:p>
            <w:pPr>
              <w:spacing w:after="40" w:line="268"/>
            </w:pPr>
            <w:r>
              <w:rPr>
                <w:color w:val="353535"/>
                <w:sz w:val="19"/>
                <w:szCs w:val="19"/>
              </w:rPr>
              <w:t xml:space="preserve">If an expense is not eligible from your WSA but could be claimed elsewhere, member services can point you to the right place. It is always worth checking before you assume something is not covered.</w:t>
            </w:r>
          </w:p>
        </w:tc>
      </w:tr>
    </w:tbl>
    <w:p>
      <w:pPr>
        <w:pStyle w:val="Heading1"/>
        <w:pBdr>
          <w:bottom w:val="single" w:color="BA0C2F" w:sz="6" w:space="4"/>
        </w:pBdr>
        <w:spacing w:after="150" w:before="340"/>
      </w:pPr>
      <w:r>
        <w:t xml:space="preserve">How to Submit a Claim</w:t>
      </w:r>
    </w:p>
    <w:p>
      <w:pPr>
        <w:spacing w:after="150" w:line="282"/>
      </w:pPr>
      <w:r>
        <w:rPr>
          <w:color w:val="4F4F4F"/>
          <w:sz w:val="21"/>
          <w:szCs w:val="21"/>
        </w:rPr>
        <w:t xml:space="preserve">Submitting a claim is straightforward. You pay for the eligible item or service, then send us your receipt for reimbursement.</w:t>
      </w:r>
    </w:p>
    <w:p>
      <w:pPr>
        <w:pStyle w:val="Heading2"/>
        <w:spacing w:after="100" w:before="220"/>
      </w:pPr>
      <w:r>
        <w:t xml:space="preserve">Step by step</w:t>
      </w:r>
    </w:p>
    <w:p>
      <w:pPr>
        <w:pStyle w:val="ListParagraph"/>
        <w:numPr>
          <w:ilvl w:val="0"/>
          <w:numId w:val="4"/>
        </w:numPr>
        <w:spacing w:after="80" w:line="272"/>
      </w:pPr>
      <w:r>
        <w:rPr>
          <w:b/>
          <w:bCs/>
          <w:color w:val="1F1F1F"/>
          <w:sz w:val="21"/>
          <w:szCs w:val="21"/>
        </w:rPr>
        <w:t xml:space="preserve">Pay for the eligible expense. </w:t>
      </w:r>
      <w:r>
        <w:rPr>
          <w:color w:val="4F4F4F"/>
          <w:sz w:val="21"/>
          <w:szCs w:val="21"/>
        </w:rPr>
        <w:t xml:space="preserve">Keep the itemized receipt and your proof of payment.</w:t>
      </w:r>
    </w:p>
    <w:p>
      <w:pPr>
        <w:pStyle w:val="ListParagraph"/>
        <w:numPr>
          <w:ilvl w:val="0"/>
          <w:numId w:val="4"/>
        </w:numPr>
        <w:spacing w:after="80" w:line="272"/>
      </w:pPr>
      <w:r>
        <w:rPr>
          <w:b/>
          <w:bCs/>
          <w:color w:val="1F1F1F"/>
          <w:sz w:val="21"/>
          <w:szCs w:val="21"/>
        </w:rPr>
        <w:t xml:space="preserve">Sign in to the member site or app. </w:t>
      </w:r>
      <w:r>
        <w:rPr>
          <w:color w:val="4F4F4F"/>
          <w:sz w:val="21"/>
          <w:szCs w:val="21"/>
        </w:rPr>
        <w:t xml:space="preserve">Go to myplan.mapleshield-demo.example or open the app and choose Submit a Claim.</w:t>
      </w:r>
    </w:p>
    <w:p>
      <w:pPr>
        <w:pStyle w:val="ListParagraph"/>
        <w:numPr>
          <w:ilvl w:val="0"/>
          <w:numId w:val="4"/>
        </w:numPr>
        <w:spacing w:after="80" w:line="272"/>
      </w:pPr>
      <w:r>
        <w:rPr>
          <w:b/>
          <w:bCs/>
          <w:color w:val="1F1F1F"/>
          <w:sz w:val="21"/>
          <w:szCs w:val="21"/>
        </w:rPr>
        <w:t xml:space="preserve">Enter the details and upload your receipt. </w:t>
      </w:r>
      <w:r>
        <w:rPr>
          <w:color w:val="4F4F4F"/>
          <w:sz w:val="21"/>
          <w:szCs w:val="21"/>
        </w:rPr>
        <w:t xml:space="preserve">Select the expense category, enter the amount and the date you incurred it, and attach a clear photo or scan of your receipt.</w:t>
      </w:r>
    </w:p>
    <w:p>
      <w:pPr>
        <w:pStyle w:val="ListParagraph"/>
        <w:numPr>
          <w:ilvl w:val="0"/>
          <w:numId w:val="4"/>
        </w:numPr>
        <w:spacing w:after="80" w:line="272"/>
      </w:pPr>
      <w:r>
        <w:rPr>
          <w:b/>
          <w:bCs/>
          <w:color w:val="1F1F1F"/>
          <w:sz w:val="21"/>
          <w:szCs w:val="21"/>
        </w:rPr>
        <w:t xml:space="preserve">Submit and track. </w:t>
      </w:r>
      <w:r>
        <w:rPr>
          <w:color w:val="4F4F4F"/>
          <w:sz w:val="21"/>
          <w:szCs w:val="21"/>
        </w:rPr>
        <w:t xml:space="preserve">You will see the claim status update, and your reimbursement will follow by direct deposit.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EEF0" w:sz="1"/>
              <w:left w:val="single" w:color="838271" w:sz="18"/>
              <w:bottom w:val="single" w:color="F3EEF0" w:sz="1"/>
              <w:right w:val="single" w:color="F3EEF0" w:sz="1"/>
            </w:tcBorders>
            <w:shd w:fill="F3EEF0" w:val="clear"/>
            <w:tcMar>
              <w:top w:type="dxa" w:w="110"/>
              <w:left w:type="dxa" w:w="160"/>
              <w:bottom w:type="dxa" w:w="110"/>
              <w:right w:type="dxa" w:w="160"/>
            </w:tcMar>
          </w:tcPr>
          <w:p>
            <w:pPr>
              <w:spacing w:after="60"/>
            </w:pPr>
            <w:r>
              <w:rPr>
                <w:b/>
                <w:bCs/>
                <w:color w:val="6A6A6A"/>
                <w:sz w:val="20"/>
                <w:szCs w:val="20"/>
              </w:rPr>
              <w:t xml:space="preserve">Prefer paper?</w:t>
            </w:r>
          </w:p>
          <w:p>
            <w:pPr>
              <w:spacing w:after="40" w:line="268"/>
            </w:pPr>
            <w:r>
              <w:rPr>
                <w:color w:val="353535"/>
                <w:sz w:val="19"/>
                <w:szCs w:val="19"/>
              </w:rPr>
              <w:t xml:space="preserve">You can also download a paper claim form from the member site, attach your receipts, and mail it to Maple Shield Group Claims at the address under “How to Reach Us.” Paper claims take longer to process than online claims.</w:t>
            </w:r>
          </w:p>
        </w:tc>
      </w:tr>
    </w:tbl>
    <w:p>
      <w:pPr>
        <w:pStyle w:val="Heading2"/>
        <w:spacing w:after="100" w:before="220"/>
      </w:pPr>
      <w:r>
        <w:t xml:space="preserve">What your receipt needs to show</w:t>
      </w:r>
    </w:p>
    <w:p>
      <w:pPr>
        <w:spacing w:after="150" w:line="282"/>
      </w:pPr>
      <w:r>
        <w:rPr>
          <w:color w:val="4F4F4F"/>
          <w:sz w:val="21"/>
          <w:szCs w:val="21"/>
        </w:rPr>
        <w:t xml:space="preserve">To reimburse a claim, we need to see what you bought, when, for how much, and that you paid in full. A valid receipt shows:</w:t>
      </w:r>
    </w:p>
    <w:p>
      <w:pPr>
        <w:pStyle w:val="ListParagraph"/>
        <w:numPr>
          <w:ilvl w:val="0"/>
          <w:numId w:val="3"/>
        </w:numPr>
        <w:spacing w:after="80" w:line="272"/>
      </w:pPr>
      <w:r>
        <w:rPr>
          <w:color w:val="4F4F4F"/>
          <w:sz w:val="21"/>
          <w:szCs w:val="21"/>
        </w:rPr>
        <w:t xml:space="preserve">The name of the business or provider.</w:t>
      </w:r>
    </w:p>
    <w:p>
      <w:pPr>
        <w:pStyle w:val="ListParagraph"/>
        <w:numPr>
          <w:ilvl w:val="0"/>
          <w:numId w:val="3"/>
        </w:numPr>
        <w:spacing w:after="80" w:line="272"/>
      </w:pPr>
      <w:r>
        <w:rPr>
          <w:color w:val="4F4F4F"/>
          <w:sz w:val="21"/>
          <w:szCs w:val="21"/>
        </w:rPr>
        <w:t xml:space="preserve">An itemized description of what you bought, not just a total.</w:t>
      </w:r>
    </w:p>
    <w:p>
      <w:pPr>
        <w:pStyle w:val="ListParagraph"/>
        <w:numPr>
          <w:ilvl w:val="0"/>
          <w:numId w:val="3"/>
        </w:numPr>
        <w:spacing w:after="80" w:line="272"/>
      </w:pPr>
      <w:r>
        <w:rPr>
          <w:color w:val="4F4F4F"/>
          <w:sz w:val="21"/>
          <w:szCs w:val="21"/>
        </w:rPr>
        <w:t xml:space="preserve">The date you received the service or purchased the item.</w:t>
      </w:r>
    </w:p>
    <w:p>
      <w:pPr>
        <w:pStyle w:val="ListParagraph"/>
        <w:numPr>
          <w:ilvl w:val="0"/>
          <w:numId w:val="3"/>
        </w:numPr>
        <w:spacing w:after="80" w:line="272"/>
      </w:pPr>
      <w:r>
        <w:rPr>
          <w:color w:val="4F4F4F"/>
          <w:sz w:val="21"/>
          <w:szCs w:val="21"/>
        </w:rPr>
        <w:t xml:space="preserve">The amount, including taxes where they apply.</w:t>
      </w:r>
    </w:p>
    <w:p>
      <w:pPr>
        <w:pStyle w:val="ListParagraph"/>
        <w:numPr>
          <w:ilvl w:val="0"/>
          <w:numId w:val="3"/>
        </w:numPr>
        <w:spacing w:after="80" w:line="272"/>
      </w:pPr>
      <w:r>
        <w:rPr>
          <w:color w:val="4F4F4F"/>
          <w:sz w:val="21"/>
          <w:szCs w:val="21"/>
        </w:rPr>
        <w:t xml:space="preserve">Proof that you paid in full, such as a paid receipt; a quote, estimate, or deposit is not enough.</w:t>
      </w:r>
    </w:p>
    <w:p>
      <w:pPr>
        <w:pStyle w:val="ListParagraph"/>
        <w:numPr>
          <w:ilvl w:val="0"/>
          <w:numId w:val="3"/>
        </w:numPr>
        <w:spacing w:after="80" w:line="272"/>
      </w:pPr>
      <w:r>
        <w:rPr>
          <w:color w:val="4F4F4F"/>
          <w:sz w:val="21"/>
          <w:szCs w:val="21"/>
        </w:rPr>
        <w:t xml:space="preserve">Your name, or the name of the eligible dependent the expense was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6" w:sz="1"/>
              <w:left w:val="single" w:color="B07A12" w:sz="18"/>
              <w:bottom w:val="single" w:color="FBF4E6" w:sz="1"/>
              <w:right w:val="single" w:color="FBF4E6" w:sz="1"/>
            </w:tcBorders>
            <w:shd w:fill="FBF4E6" w:val="clear"/>
            <w:tcMar>
              <w:top w:type="dxa" w:w="110"/>
              <w:left w:type="dxa" w:w="160"/>
              <w:bottom w:type="dxa" w:w="110"/>
              <w:right w:type="dxa" w:w="160"/>
            </w:tcMar>
          </w:tcPr>
          <w:p>
            <w:pPr>
              <w:spacing w:after="60"/>
            </w:pPr>
            <w:r>
              <w:rPr>
                <w:b/>
                <w:bCs/>
                <w:color w:val="B07A12"/>
                <w:sz w:val="20"/>
                <w:szCs w:val="20"/>
              </w:rPr>
              <w:t xml:space="preserve">Receipts we cannot accept</w:t>
            </w:r>
          </w:p>
          <w:p>
            <w:pPr>
              <w:spacing w:after="40" w:line="268"/>
            </w:pPr>
            <w:r>
              <w:rPr>
                <w:color w:val="353535"/>
                <w:sz w:val="19"/>
                <w:szCs w:val="19"/>
              </w:rPr>
              <w:t xml:space="preserve">We are unable to reimburse from a credit-card slip or bank statement on its own, an undated receipt, a quote or deposit, a gift-card purchase, or a receipt in the name of someone not covered under your plan. If a claim is missing something, we will let you know what we need.</w:t>
            </w:r>
          </w:p>
        </w:tc>
      </w:tr>
    </w:tbl>
    <w:p>
      <w:pPr>
        <w:pStyle w:val="Heading2"/>
        <w:spacing w:after="100" w:before="220"/>
      </w:pPr>
      <w:r>
        <w:t xml:space="preserve">Deadlines</w:t>
      </w:r>
    </w:p>
    <w:p>
      <w:pPr>
        <w:spacing w:after="150" w:line="282"/>
      </w:pPr>
      <w:r>
        <w:rPr>
          <w:color w:val="4F4F4F"/>
          <w:sz w:val="21"/>
          <w:szCs w:val="21"/>
        </w:rPr>
        <w:t xml:space="preserve">Submit your claims during the plan year whenever you can. For expenses incurred late in the year, you have until 90 days after the plan year ends to submit them. After that runout period, prior-year expenses can no longer be claimed.</w:t>
      </w:r>
    </w:p>
    <w:p>
      <w:pPr>
        <w:pStyle w:val="Heading2"/>
        <w:spacing w:after="100" w:before="220"/>
      </w:pPr>
      <w:r>
        <w:t xml:space="preserve">How quickly you are paid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How you submit</w:t>
            </w:r>
          </w:p>
        </w:tc>
        <w:tc>
          <w:tcPr>
            <w:tcW w:type="dxa" w:w="516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Typical processing time (illustrative)</w:t>
            </w:r>
          </w:p>
        </w:tc>
      </w:tr>
      <w:tr>
        <w:tc>
          <w:tcPr>
            <w:tcW w:type="dxa" w:w="42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Online or app, complete and eligible</w:t>
            </w:r>
          </w:p>
        </w:tc>
        <w:tc>
          <w:tcPr>
            <w:tcW w:type="dxa" w:w="51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Real time to about 2 business days</w:t>
            </w:r>
          </w:p>
        </w:tc>
      </w:tr>
      <w:tr>
        <w:tc>
          <w:tcPr>
            <w:tcW w:type="dxa" w:w="42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Held for a closer look (missing detail or review)</w:t>
            </w:r>
          </w:p>
        </w:tc>
        <w:tc>
          <w:tcPr>
            <w:tcW w:type="dxa" w:w="51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About 2 to 5 business days once we have what we need</w:t>
            </w:r>
          </w:p>
        </w:tc>
      </w:tr>
      <w:tr>
        <w:tc>
          <w:tcPr>
            <w:tcW w:type="dxa" w:w="42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Paper claim by mail</w:t>
            </w:r>
          </w:p>
        </w:tc>
        <w:tc>
          <w:tcPr>
            <w:tcW w:type="dxa" w:w="51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Longer than online, plus mailing time</w:t>
            </w:r>
          </w:p>
        </w:tc>
      </w:tr>
    </w:tbl>
    <w:p>
      <w:pPr>
        <w:pStyle w:val="Heading1"/>
        <w:pBdr>
          <w:bottom w:val="single" w:color="BA0C2F" w:sz="6" w:space="4"/>
        </w:pBdr>
        <w:spacing w:after="150" w:before="340"/>
      </w:pPr>
      <w:r>
        <w:t xml:space="preserve">Using Your WSA With Your Other Benefits</w:t>
      </w:r>
    </w:p>
    <w:p>
      <w:pPr>
        <w:spacing w:after="150" w:line="282"/>
      </w:pPr>
      <w:r>
        <w:rPr>
          <w:color w:val="4F4F4F"/>
          <w:sz w:val="21"/>
          <w:szCs w:val="21"/>
        </w:rPr>
        <w:t xml:space="preserve">If you have health and dental benefits, or a Health Care Spending Account, use them first for anything that qualifies as a medical expense. Your WSA is for wellness and lifestyle expenses that are not medical.</w:t>
      </w:r>
    </w:p>
    <w:p>
      <w:pPr>
        <w:pStyle w:val="Heading3"/>
        <w:spacing w:after="80" w:before="160"/>
      </w:pPr>
      <w:r>
        <w:t xml:space="preserve">The order to use</w:t>
      </w:r>
    </w:p>
    <w:p>
      <w:pPr>
        <w:pStyle w:val="ListParagraph"/>
        <w:numPr>
          <w:ilvl w:val="0"/>
          <w:numId w:val="5"/>
        </w:numPr>
        <w:spacing w:after="80" w:line="272"/>
      </w:pPr>
      <w:r>
        <w:rPr>
          <w:color w:val="4F4F4F"/>
          <w:sz w:val="21"/>
          <w:szCs w:val="21"/>
        </w:rPr>
        <w:t xml:space="preserve">Your health and dental benefits pay first for eligible medical expenses.</w:t>
      </w:r>
    </w:p>
    <w:p>
      <w:pPr>
        <w:pStyle w:val="ListParagraph"/>
        <w:numPr>
          <w:ilvl w:val="0"/>
          <w:numId w:val="5"/>
        </w:numPr>
        <w:spacing w:after="80" w:line="272"/>
      </w:pPr>
      <w:r>
        <w:rPr>
          <w:color w:val="4F4F4F"/>
          <w:sz w:val="21"/>
          <w:szCs w:val="21"/>
        </w:rPr>
        <w:t xml:space="preserve">If you have a second plan, such as a spouse's, coordination of benefits may cover more of the cost.</w:t>
      </w:r>
    </w:p>
    <w:p>
      <w:pPr>
        <w:pStyle w:val="ListParagraph"/>
        <w:numPr>
          <w:ilvl w:val="0"/>
          <w:numId w:val="5"/>
        </w:numPr>
        <w:spacing w:after="80" w:line="272"/>
      </w:pPr>
      <w:r>
        <w:rPr>
          <w:color w:val="4F4F4F"/>
          <w:sz w:val="21"/>
          <w:szCs w:val="21"/>
        </w:rPr>
        <w:t xml:space="preserve">A Health Care Spending Account, if you have one, covers remaining eligible medical costs tax-free.</w:t>
      </w:r>
    </w:p>
    <w:p>
      <w:pPr>
        <w:pStyle w:val="ListParagraph"/>
        <w:numPr>
          <w:ilvl w:val="0"/>
          <w:numId w:val="5"/>
        </w:numPr>
        <w:spacing w:after="80" w:line="272"/>
      </w:pPr>
      <w:r>
        <w:rPr>
          <w:color w:val="4F4F4F"/>
          <w:sz w:val="21"/>
          <w:szCs w:val="21"/>
        </w:rPr>
        <w:t xml:space="preserve">Your WSA covers wellness and lifestyle expenses that are not medical.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3F2" w:sz="1"/>
              <w:left w:val="single" w:color="1F6F6B" w:sz="18"/>
              <w:bottom w:val="single" w:color="EAF3F2" w:sz="1"/>
              <w:right w:val="single" w:color="EAF3F2" w:sz="1"/>
            </w:tcBorders>
            <w:shd w:fill="EAF3F2" w:val="clear"/>
            <w:tcMar>
              <w:top w:type="dxa" w:w="110"/>
              <w:left w:type="dxa" w:w="160"/>
              <w:bottom w:type="dxa" w:w="110"/>
              <w:right w:type="dxa" w:w="160"/>
            </w:tcMar>
          </w:tcPr>
          <w:p>
            <w:pPr>
              <w:spacing w:after="60"/>
            </w:pPr>
            <w:r>
              <w:rPr>
                <w:b/>
                <w:bCs/>
                <w:color w:val="1F6F6B"/>
                <w:sz w:val="20"/>
                <w:szCs w:val="20"/>
              </w:rPr>
              <w:t xml:space="preserve">Why the order matters</w:t>
            </w:r>
          </w:p>
          <w:p>
            <w:pPr>
              <w:spacing w:after="40" w:line="268"/>
            </w:pPr>
            <w:r>
              <w:rPr>
                <w:color w:val="353535"/>
                <w:sz w:val="19"/>
                <w:szCs w:val="19"/>
              </w:rPr>
              <w:t xml:space="preserve">Claiming a medical expense through your health benefits or a Health Care Spending Account keeps it tax-free and preserves your WSA credits for wellness and lifestyle expenses. Sending a medical expense to your WSA would make it taxable for no reason.</w:t>
            </w:r>
          </w:p>
        </w:tc>
      </w:tr>
    </w:tbl>
    <w:p>
      <w:pPr>
        <w:pStyle w:val="Heading1"/>
        <w:pBdr>
          <w:bottom w:val="single" w:color="BA0C2F" w:sz="6" w:space="4"/>
        </w:pBdr>
        <w:spacing w:after="150" w:before="340"/>
      </w:pPr>
      <w:r>
        <w:t xml:space="preserve">When Your Coverage Changes or 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If this happens</w:t>
            </w:r>
          </w:p>
        </w:tc>
        <w:tc>
          <w:tcPr>
            <w:tcW w:type="dxa" w:w="6160"/>
            <w:tcBorders>
              <w:top w:val="single" w:color="D2CDCE" w:sz="1"/>
              <w:left w:val="single" w:color="D2CDCE" w:sz="1"/>
              <w:bottom w:val="single" w:color="D2CDCE" w:sz="1"/>
              <w:right w:val="single" w:color="D2CDCE" w:sz="1"/>
            </w:tcBorders>
            <w:shd w:fill="BA0C2F" w:val="clear"/>
            <w:tcMar>
              <w:top w:type="dxa" w:w="70"/>
              <w:left w:type="dxa" w:w="110"/>
              <w:bottom w:type="dxa" w:w="70"/>
              <w:right w:type="dxa" w:w="110"/>
            </w:tcMar>
            <w:vAlign w:val="center"/>
          </w:tcPr>
          <w:p>
            <w:r>
              <w:rPr>
                <w:b/>
                <w:bCs/>
                <w:color w:val="FFFFFF"/>
                <w:sz w:val="19"/>
                <w:szCs w:val="19"/>
              </w:rPr>
              <w:t xml:space="preserve">What it means for your WSA</w:t>
            </w:r>
          </w:p>
        </w:tc>
      </w:tr>
      <w:tr>
        <w:tc>
          <w:tcPr>
            <w:tcW w:type="dxa" w:w="32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You change from single to family coverage (or the reverse)</w:t>
            </w:r>
          </w:p>
        </w:tc>
        <w:tc>
          <w:tcPr>
            <w:tcW w:type="dxa" w:w="61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Your allocation is updated to match your new coverage, according to your plan's rules. Check your balance after the change.</w:t>
            </w:r>
          </w:p>
        </w:tc>
      </w:tr>
      <w:tr>
        <w:tc>
          <w:tcPr>
            <w:tcW w:type="dxa" w:w="32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You go on a leave</w:t>
            </w:r>
          </w:p>
        </w:tc>
        <w:tc>
          <w:tcPr>
            <w:tcW w:type="dxa" w:w="61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Whether your WSA continues during a leave depends on your employer's rules. Ask your plan administrator before you incur expenses during a leave.</w:t>
            </w:r>
          </w:p>
        </w:tc>
      </w:tr>
      <w:tr>
        <w:tc>
          <w:tcPr>
            <w:tcW w:type="dxa" w:w="320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Your employment ends</w:t>
            </w:r>
          </w:p>
        </w:tc>
        <w:tc>
          <w:tcPr>
            <w:tcW w:type="dxa" w:w="6160"/>
            <w:tcBorders>
              <w:top w:val="single" w:color="D2CDCE" w:sz="1"/>
              <w:left w:val="single" w:color="D2CDCE" w:sz="1"/>
              <w:bottom w:val="single" w:color="D2CDCE" w:sz="1"/>
              <w:right w:val="single" w:color="D2CDCE" w:sz="1"/>
            </w:tcBorders>
            <w:shd w:fill="FFFFFF" w:val="clear"/>
            <w:tcMar>
              <w:top w:type="dxa" w:w="60"/>
              <w:left w:type="dxa" w:w="110"/>
              <w:bottom w:type="dxa" w:w="60"/>
              <w:right w:type="dxa" w:w="110"/>
            </w:tcMar>
            <w:vAlign w:val="top"/>
          </w:tcPr>
          <w:p>
            <w:pPr>
              <w:spacing w:after="0" w:line="256"/>
            </w:pPr>
            <w:r>
              <w:rPr>
                <w:color w:val="4F4F4F"/>
                <w:sz w:val="18"/>
                <w:szCs w:val="18"/>
              </w:rPr>
              <w:t xml:space="preserve">Unused credits are forfeited. You can still claim eligible expenses you incurred on or before your coverage end date, within the runout period.</w:t>
            </w:r>
          </w:p>
        </w:tc>
      </w:tr>
      <w:tr>
        <w:tc>
          <w:tcPr>
            <w:tcW w:type="dxa" w:w="320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You retire</w:t>
            </w:r>
          </w:p>
        </w:tc>
        <w:tc>
          <w:tcPr>
            <w:tcW w:type="dxa" w:w="6160"/>
            <w:tcBorders>
              <w:top w:val="single" w:color="D2CDCE" w:sz="1"/>
              <w:left w:val="single" w:color="D2CDCE" w:sz="1"/>
              <w:bottom w:val="single" w:color="D2CDCE" w:sz="1"/>
              <w:right w:val="single" w:color="D2CDCE" w:sz="1"/>
            </w:tcBorders>
            <w:shd w:fill="F6F2F3" w:val="clear"/>
            <w:tcMar>
              <w:top w:type="dxa" w:w="60"/>
              <w:left w:type="dxa" w:w="110"/>
              <w:bottom w:type="dxa" w:w="60"/>
              <w:right w:type="dxa" w:w="110"/>
            </w:tcMar>
            <w:vAlign w:val="top"/>
          </w:tcPr>
          <w:p>
            <w:pPr>
              <w:spacing w:after="0" w:line="256"/>
            </w:pPr>
            <w:r>
              <w:rPr>
                <w:color w:val="4F4F4F"/>
                <w:sz w:val="18"/>
                <w:szCs w:val="18"/>
              </w:rPr>
              <w:t xml:space="preserve">Your WSA ends with your active coverage unless your plan provides otherwise. Claim eligible expenses incurred before your coverage ended, within the runout period.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F4E6" w:sz="1"/>
              <w:left w:val="single" w:color="B07A12" w:sz="18"/>
              <w:bottom w:val="single" w:color="FBF4E6" w:sz="1"/>
              <w:right w:val="single" w:color="FBF4E6" w:sz="1"/>
            </w:tcBorders>
            <w:shd w:fill="FBF4E6" w:val="clear"/>
            <w:tcMar>
              <w:top w:type="dxa" w:w="110"/>
              <w:left w:type="dxa" w:w="160"/>
              <w:bottom w:type="dxa" w:w="110"/>
              <w:right w:type="dxa" w:w="160"/>
            </w:tcMar>
          </w:tcPr>
          <w:p>
            <w:pPr>
              <w:spacing w:after="60"/>
            </w:pPr>
            <w:r>
              <w:rPr>
                <w:b/>
                <w:bCs/>
                <w:color w:val="B07A12"/>
                <w:sz w:val="20"/>
                <w:szCs w:val="20"/>
              </w:rPr>
              <w:t xml:space="preserve">Don't leave credits on the table</w:t>
            </w:r>
          </w:p>
          <w:p>
            <w:pPr>
              <w:spacing w:after="40" w:line="268"/>
            </w:pPr>
            <w:r>
              <w:rPr>
                <w:color w:val="353535"/>
                <w:sz w:val="19"/>
                <w:szCs w:val="19"/>
              </w:rPr>
              <w:t xml:space="preserve">If you know your coverage is ending, submit any eligible expenses you have already incurred before your coverage end date. Once coverage ends, you cannot incur new eligible expenses, and unused credits are not paid out.</w:t>
            </w:r>
          </w:p>
        </w:tc>
      </w:tr>
    </w:tbl>
    <w:p>
      <w:pPr>
        <w:pStyle w:val="Heading1"/>
        <w:pBdr>
          <w:bottom w:val="single" w:color="BA0C2F" w:sz="6" w:space="4"/>
        </w:pBdr>
        <w:spacing w:after="150" w:before="340"/>
      </w:pPr>
      <w:r>
        <w:t xml:space="preserve">If You Disagree With a Decision</w:t>
      </w:r>
    </w:p>
    <w:p>
      <w:pPr>
        <w:spacing w:after="150" w:line="282"/>
      </w:pPr>
      <w:r>
        <w:rPr>
          <w:color w:val="4F4F4F"/>
          <w:sz w:val="21"/>
          <w:szCs w:val="21"/>
        </w:rPr>
        <w:t xml:space="preserve">If a claim is declined and you believe it should be covered, you can ask us to review it. We want to get your claim right.</w:t>
      </w:r>
    </w:p>
    <w:p>
      <w:pPr>
        <w:pStyle w:val="ListParagraph"/>
        <w:numPr>
          <w:ilvl w:val="0"/>
          <w:numId w:val="6"/>
        </w:numPr>
        <w:spacing w:after="80" w:line="272"/>
      </w:pPr>
      <w:r>
        <w:rPr>
          <w:b/>
          <w:bCs/>
          <w:color w:val="1F1F1F"/>
          <w:sz w:val="21"/>
          <w:szCs w:val="21"/>
        </w:rPr>
        <w:t xml:space="preserve">Contact member services first. </w:t>
      </w:r>
      <w:r>
        <w:rPr>
          <w:color w:val="4F4F4F"/>
          <w:sz w:val="21"/>
          <w:szCs w:val="21"/>
        </w:rPr>
        <w:t xml:space="preserve">Often a declined claim is simply missing a detail, and we can resolve it quickly once you send what we need.</w:t>
      </w:r>
    </w:p>
    <w:p>
      <w:pPr>
        <w:pStyle w:val="ListParagraph"/>
        <w:numPr>
          <w:ilvl w:val="0"/>
          <w:numId w:val="6"/>
        </w:numPr>
        <w:spacing w:after="80" w:line="272"/>
      </w:pPr>
      <w:r>
        <w:rPr>
          <w:b/>
          <w:bCs/>
          <w:color w:val="1F1F1F"/>
          <w:sz w:val="21"/>
          <w:szCs w:val="21"/>
        </w:rPr>
        <w:t xml:space="preserve">Ask for a formal review. </w:t>
      </w:r>
      <w:r>
        <w:rPr>
          <w:color w:val="4F4F4F"/>
          <w:sz w:val="21"/>
          <w:szCs w:val="21"/>
        </w:rPr>
        <w:t xml:space="preserve">If you still disagree, you can request a review in writing, including any additional receipts or information, within the time allowed under your plan.</w:t>
      </w:r>
    </w:p>
    <w:p>
      <w:pPr>
        <w:pStyle w:val="ListParagraph"/>
        <w:numPr>
          <w:ilvl w:val="0"/>
          <w:numId w:val="6"/>
        </w:numPr>
        <w:spacing w:after="80" w:line="272"/>
      </w:pPr>
      <w:r>
        <w:rPr>
          <w:b/>
          <w:bCs/>
          <w:color w:val="1F1F1F"/>
          <w:sz w:val="21"/>
          <w:szCs w:val="21"/>
        </w:rPr>
        <w:t xml:space="preserve">We take a second look. </w:t>
      </w:r>
      <w:r>
        <w:rPr>
          <w:color w:val="4F4F4F"/>
          <w:sz w:val="21"/>
          <w:szCs w:val="21"/>
        </w:rPr>
        <w:t xml:space="preserve">A reviewer who was not involved in the original decision re-examines your claim against your plan terms and lets you know the outcome with reasons.</w:t>
      </w:r>
    </w:p>
    <w:p>
      <w:pPr>
        <w:spacing w:after="150" w:line="282"/>
      </w:pPr>
      <w:r>
        <w:rPr>
          <w:color w:val="4F4F4F"/>
          <w:sz w:val="21"/>
          <w:szCs w:val="21"/>
        </w:rPr>
        <w:t xml:space="preserve">Decisions are made according to the group policy, which is the final authority on what your plan covers.</w:t>
      </w:r>
    </w:p>
    <w:p>
      <w:pPr>
        <w:pStyle w:val="Heading1"/>
        <w:pBdr>
          <w:bottom w:val="single" w:color="BA0C2F" w:sz="6" w:space="4"/>
        </w:pBdr>
        <w:spacing w:after="150" w:before="340"/>
      </w:pPr>
      <w:r>
        <w:t xml:space="preserve">Your Privacy</w:t>
      </w:r>
    </w:p>
    <w:p>
      <w:pPr>
        <w:spacing w:after="150" w:line="282"/>
      </w:pPr>
      <w:r>
        <w:rPr>
          <w:color w:val="4F4F4F"/>
          <w:sz w:val="21"/>
          <w:szCs w:val="21"/>
        </w:rPr>
        <w:t xml:space="preserve">We collect and use your personal information to administer your benefits and process your claims, and we protect it in line with Canadian privacy law.</w:t>
      </w:r>
    </w:p>
    <w:p>
      <w:pPr>
        <w:pStyle w:val="ListParagraph"/>
        <w:numPr>
          <w:ilvl w:val="0"/>
          <w:numId w:val="3"/>
        </w:numPr>
        <w:spacing w:after="80" w:line="272"/>
      </w:pPr>
      <w:r>
        <w:rPr>
          <w:color w:val="4F4F4F"/>
          <w:sz w:val="21"/>
          <w:szCs w:val="21"/>
        </w:rPr>
        <w:t xml:space="preserve">We collect only the information we need to administer your plan and assess your claims.</w:t>
      </w:r>
    </w:p>
    <w:p>
      <w:pPr>
        <w:pStyle w:val="ListParagraph"/>
        <w:numPr>
          <w:ilvl w:val="0"/>
          <w:numId w:val="3"/>
        </w:numPr>
        <w:spacing w:after="80" w:line="272"/>
      </w:pPr>
      <w:r>
        <w:rPr>
          <w:color w:val="4F4F4F"/>
          <w:sz w:val="21"/>
          <w:szCs w:val="21"/>
        </w:rPr>
        <w:t xml:space="preserve">We use and share your information only for those purposes, and only with people who need it.</w:t>
      </w:r>
    </w:p>
    <w:p>
      <w:pPr>
        <w:pStyle w:val="ListParagraph"/>
        <w:numPr>
          <w:ilvl w:val="0"/>
          <w:numId w:val="3"/>
        </w:numPr>
        <w:spacing w:after="80" w:line="272"/>
      </w:pPr>
      <w:r>
        <w:rPr>
          <w:color w:val="4F4F4F"/>
          <w:sz w:val="21"/>
          <w:szCs w:val="21"/>
        </w:rPr>
        <w:t xml:space="preserve">We keep your information secure and retain it only as long as necessary.</w:t>
      </w:r>
    </w:p>
    <w:p>
      <w:pPr>
        <w:pStyle w:val="ListParagraph"/>
        <w:numPr>
          <w:ilvl w:val="0"/>
          <w:numId w:val="3"/>
        </w:numPr>
        <w:spacing w:after="80" w:line="272"/>
      </w:pPr>
      <w:r>
        <w:rPr>
          <w:color w:val="4F4F4F"/>
          <w:sz w:val="21"/>
          <w:szCs w:val="21"/>
        </w:rPr>
        <w:t xml:space="preserve">You can ask to see the personal information we hold about you and to correct it.</w:t>
      </w:r>
    </w:p>
    <w:p>
      <w:pPr>
        <w:spacing w:after="150" w:line="282"/>
      </w:pPr>
      <w:r>
        <w:rPr>
          <w:color w:val="4F4F4F"/>
          <w:sz w:val="21"/>
          <w:szCs w:val="21"/>
        </w:rPr>
        <w:t xml:space="preserve">Because you are responsible for the claims made under your membership, including those for your dependents, claim information for your dependents may be shared with you. If you have a privacy question, contact member services and ask for our Privacy Officer.</w:t>
      </w:r>
    </w:p>
    <w:p>
      <w:pPr>
        <w:pStyle w:val="Heading1"/>
        <w:pBdr>
          <w:bottom w:val="single" w:color="BA0C2F" w:sz="6" w:space="4"/>
        </w:pBdr>
        <w:spacing w:after="150" w:before="340"/>
      </w:pPr>
      <w:r>
        <w:t xml:space="preserve">General Provisions</w:t>
      </w:r>
    </w:p>
    <w:p>
      <w:pPr>
        <w:pStyle w:val="Heading3"/>
        <w:spacing w:after="80" w:before="160"/>
      </w:pPr>
      <w:r>
        <w:t xml:space="preserve">The contract</w:t>
      </w:r>
    </w:p>
    <w:p>
      <w:pPr>
        <w:spacing w:after="150" w:line="282"/>
      </w:pPr>
      <w:r>
        <w:rPr>
          <w:color w:val="4F4F4F"/>
          <w:sz w:val="21"/>
          <w:szCs w:val="21"/>
        </w:rPr>
        <w:t xml:space="preserve">Your benefits are provided under a group policy issued by the insurer to your plan sponsor. This booklet summarizes the WSA for your convenience. If anything in this booklet differs from the group policy, the group policy governs.</w:t>
      </w:r>
    </w:p>
    <w:p>
      <w:pPr>
        <w:pStyle w:val="Heading3"/>
        <w:spacing w:after="80" w:before="160"/>
      </w:pPr>
      <w:r>
        <w:t xml:space="preserve">Changes to the plan</w:t>
      </w:r>
    </w:p>
    <w:p>
      <w:pPr>
        <w:spacing w:after="150" w:line="282"/>
      </w:pPr>
      <w:r>
        <w:rPr>
          <w:color w:val="4F4F4F"/>
          <w:sz w:val="21"/>
          <w:szCs w:val="21"/>
        </w:rPr>
        <w:t xml:space="preserve">Your plan sponsor may change or end the WSA. Your plan sponsor and the insurer may amend the plan's terms, allocation, covered expenses, or rules from time to time. You will be notified of material changes that affect you.</w:t>
      </w:r>
    </w:p>
    <w:p>
      <w:pPr>
        <w:pStyle w:val="Heading3"/>
        <w:spacing w:after="80" w:before="160"/>
      </w:pPr>
      <w:r>
        <w:t xml:space="preserve">Currency</w:t>
      </w:r>
    </w:p>
    <w:p>
      <w:pPr>
        <w:spacing w:after="150" w:line="282"/>
      </w:pPr>
      <w:r>
        <w:rPr>
          <w:color w:val="4F4F4F"/>
          <w:sz w:val="21"/>
          <w:szCs w:val="21"/>
        </w:rPr>
        <w:t xml:space="preserve">All amounts in this booklet and all reimbursements are in Canadian dollars.</w:t>
      </w:r>
    </w:p>
    <w:p>
      <w:pPr>
        <w:pStyle w:val="Heading3"/>
        <w:spacing w:after="80" w:before="160"/>
      </w:pPr>
      <w:r>
        <w:t xml:space="preserve">Not a guarantee of employment</w:t>
      </w:r>
    </w:p>
    <w:p>
      <w:pPr>
        <w:spacing w:after="150" w:line="282"/>
      </w:pPr>
      <w:r>
        <w:rPr>
          <w:color w:val="4F4F4F"/>
          <w:sz w:val="21"/>
          <w:szCs w:val="21"/>
        </w:rPr>
        <w:t xml:space="preserve">Participation in this plan is not a contract of employment and does not guarantee continued employment.</w:t>
      </w:r>
    </w:p>
    <w:p>
      <w:pPr>
        <w:pBdr>
          <w:top w:val="single" w:color="BA0C2F" w:sz="6" w:space="6"/>
        </w:pBdr>
        <w:spacing w:before="360"/>
      </w:pPr>
      <w:r>
        <w:rPr>
          <w:i/>
          <w:iCs/>
          <w:color w:val="838271"/>
          <w:sz w:val="18"/>
          <w:szCs w:val="18"/>
        </w:rPr>
        <w:t xml:space="preserve">This is an illustrative sample benefit booklet. The group policy issued to the plan sponsor is the governing document in all cases.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DFE0" w:sz="4" w:space="4"/>
      </w:pBdr>
      <w:tabs>
        <w:tab w:val="center" w:pos="4680"/>
        <w:tab w:val="right" w:pos="9360"/>
      </w:tabs>
    </w:pPr>
    <w:r>
      <w:rPr>
        <w:color w:val="838271"/>
        <w:sz w:val="15"/>
        <w:szCs w:val="15"/>
      </w:rPr>
      <w:t xml:space="preserve">Sample document — not a real insurance contract</w:t>
    </w:r>
    <w:r>
      <w:rPr>
        <w:sz w:val="15"/>
        <w:szCs w:val="15"/>
      </w:rPr>
      <w:t xml:space="preserve">	</w:t>
    </w:r>
    <w:r>
      <w:rPr>
        <w:color w:val="838271"/>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r>
      <w:rPr>
        <w:color w:val="838271"/>
        <w:sz w:val="15"/>
        <w:szCs w:val="15"/>
      </w:rPr>
      <w:t xml:space="preserve">	GP-489120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DFE0" w:sz="4" w:space="4"/>
      </w:pBdr>
      <w:tabs>
        <w:tab w:val="right" w:pos="9360"/>
      </w:tabs>
    </w:pPr>
    <w:r>
      <w:rPr>
        <w:b/>
        <w:bCs/>
        <w:color w:val="BA0C2F"/>
        <w:sz w:val="16"/>
        <w:szCs w:val="16"/>
      </w:rPr>
      <w:t xml:space="preserve">Maple Shield Benefits</w:t>
    </w:r>
    <w:r>
      <w:rPr>
        <w:color w:val="838271"/>
        <w:sz w:val="16"/>
        <w:szCs w:val="16"/>
      </w:rPr>
      <w:t xml:space="preserve">	Wellness Spending Account — Benefit Booklet (Illustrative)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20" w:hanging="30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F4F4F"/>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50" w:before="340"/>
      <w:outlineLvl w:val="0"/>
    </w:pPr>
    <w:rPr>
      <w:rFonts w:ascii="Arial" w:cs="Arial" w:eastAsia="Arial" w:hAnsi="Arial"/>
      <w:b/>
      <w:bCs/>
      <w:color w:val="BA0C2F"/>
      <w:sz w:val="30"/>
      <w:szCs w:val="30"/>
    </w:rPr>
  </w:style>
  <w:style w:type="paragraph" w:styleId="Heading2">
    <w:name w:val="Heading 2"/>
    <w:basedOn w:val="Normal"/>
    <w:next w:val="Normal"/>
    <w:qFormat/>
    <w:pPr>
      <w:keepNext/>
      <w:spacing w:after="100" w:before="220"/>
      <w:outlineLvl w:val="1"/>
    </w:pPr>
    <w:rPr>
      <w:rFonts w:ascii="Arial" w:cs="Arial" w:eastAsia="Arial" w:hAnsi="Arial"/>
      <w:b/>
      <w:bCs/>
      <w:color w:val="1F1F1F"/>
      <w:sz w:val="24"/>
      <w:szCs w:val="24"/>
    </w:rPr>
  </w:style>
  <w:style w:type="paragraph" w:styleId="Heading3">
    <w:name w:val="Heading 3"/>
    <w:basedOn w:val="Normal"/>
    <w:next w:val="Normal"/>
    <w:qFormat/>
    <w:pPr>
      <w:keepNext/>
      <w:spacing w:after="80" w:before="160"/>
      <w:outlineLvl w:val="2"/>
    </w:pPr>
    <w:rPr>
      <w:rFonts w:ascii="Arial" w:cs="Arial" w:eastAsia="Arial" w:hAnsi="Arial"/>
      <w:b/>
      <w:bCs/>
      <w:color w:val="83827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Wellness Spending Account - Group Benefit Booklet</dc:title>
  <dc:creator>Maple Shield Life Assurance Company (illustrative)</dc:creator>
  <dc:description>Illustrative member benefit booklet for a Canadian group WSA</dc:description>
  <cp:lastModifiedBy>Un-named</cp:lastModifiedBy>
  <cp:revision>1</cp:revision>
  <dcterms:created xsi:type="dcterms:W3CDTF">2026-06-19T21:12:28.594Z</dcterms:created>
  <dcterms:modified xsi:type="dcterms:W3CDTF">2026-06-19T21:12:28.594Z</dcterms:modified>
</cp:coreProperties>
</file>

<file path=docProps/custom.xml><?xml version="1.0" encoding="utf-8"?>
<Properties xmlns="http://schemas.openxmlformats.org/officeDocument/2006/custom-properties" xmlns:vt="http://schemas.openxmlformats.org/officeDocument/2006/docPropsVTypes"/>
</file>