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25E4BF" w14:textId="77777777" w:rsidR="009577FE" w:rsidRPr="009577FE" w:rsidRDefault="009577FE" w:rsidP="009577FE">
      <w:pPr>
        <w:spacing w:before="90" w:after="60" w:line="240" w:lineRule="auto"/>
        <w:jc w:val="center"/>
        <w:outlineLvl w:val="0"/>
        <w:rPr>
          <w:rFonts w:ascii="Times New Roman" w:eastAsia="Times New Roman" w:hAnsi="Times New Roman" w:cs="Times New Roman"/>
          <w:b/>
          <w:bCs/>
          <w:color w:val="8B1A1A"/>
          <w:spacing w:val="8"/>
          <w:kern w:val="36"/>
          <w:sz w:val="32"/>
          <w:szCs w:val="32"/>
        </w:rPr>
      </w:pPr>
      <w:r w:rsidRPr="009577FE">
        <w:rPr>
          <w:rFonts w:ascii="Times New Roman" w:eastAsia="Times New Roman" w:hAnsi="Times New Roman" w:cs="Times New Roman"/>
          <w:b/>
          <w:bCs/>
          <w:color w:val="8B1A1A"/>
          <w:spacing w:val="8"/>
          <w:kern w:val="36"/>
          <w:sz w:val="32"/>
          <w:szCs w:val="32"/>
        </w:rPr>
        <w:t>HỢP ĐỒNG DỊCH VỤ</w:t>
      </w:r>
    </w:p>
    <w:p w14:paraId="5CC5359F" w14:textId="77777777" w:rsidR="009577FE" w:rsidRPr="009577FE" w:rsidRDefault="009577FE" w:rsidP="009577FE">
      <w:pPr>
        <w:spacing w:before="75" w:after="15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Số: {so_hd}</w:t>
      </w:r>
    </w:p>
    <w:p w14:paraId="14A7047C"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dân sự số: 91/2015/QH13 có hiệu lực thi hành từ ngày 01/01/2017.</w:t>
      </w:r>
    </w:p>
    <w:p w14:paraId="6663B5DA"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106/2016/QH13 có hiệu lực thi hành từ ngày 01/07/2016.</w:t>
      </w:r>
    </w:p>
    <w:p w14:paraId="1A445DDD"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38/2019/QH14 có hiệu lực thi hành từ 01/07/2020.</w:t>
      </w:r>
    </w:p>
    <w:p w14:paraId="4BD1AFD1"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khả năng và nhu cầu của các bên.</w:t>
      </w:r>
    </w:p>
    <w:p w14:paraId="4652B82C"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dịch vụ Tư vấn thuế (gọi là "Hợp đồng") này được lập </w:t>
      </w:r>
      <w:r w:rsidRPr="009577FE">
        <w:rPr>
          <w:rFonts w:ascii="Times New Roman" w:eastAsia="Times New Roman" w:hAnsi="Times New Roman" w:cs="Times New Roman"/>
          <w:b/>
          <w:bCs/>
          <w:color w:val="1A1A1A"/>
          <w:sz w:val="26"/>
          <w:szCs w:val="26"/>
        </w:rPr>
        <w:t>{ngay_lap}</w:t>
      </w:r>
      <w:r w:rsidRPr="009577FE">
        <w:rPr>
          <w:rFonts w:ascii="Times New Roman" w:eastAsia="Times New Roman" w:hAnsi="Times New Roman" w:cs="Times New Roman"/>
          <w:color w:val="1A1A1A"/>
          <w:sz w:val="26"/>
          <w:szCs w:val="26"/>
        </w:rPr>
        <w:t> tại trụ sở của Công ty CP Tư Vấn Thuế SAVITAX và thực hiện bởi các Bên tham gia dưới đây:</w:t>
      </w:r>
    </w:p>
    <w:p w14:paraId="6E704241"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A: (Bên sử dụng dịch vụ):</w:t>
      </w:r>
    </w:p>
    <w:p w14:paraId="63AAA262" w14:textId="77777777" w:rsidR="009577FE" w:rsidRPr="009577FE" w:rsidRDefault="009577FE" w:rsidP="009577FE">
      <w:pPr>
        <w:spacing w:before="75" w:after="75" w:line="240" w:lineRule="auto"/>
        <w:ind w:left="426"/>
        <w:jc w:val="both"/>
        <w:rPr>
          <w:rFonts w:ascii="Times New Roman" w:eastAsia="Times New Roman" w:hAnsi="Times New Roman" w:cs="Times New Roman"/>
          <w:b/>
          <w:bCs/>
          <w:caps/>
          <w:color w:val="1A1A1A"/>
          <w:sz w:val="26"/>
          <w:szCs w:val="26"/>
        </w:rPr>
      </w:pPr>
      <w:r w:rsidRPr="009577FE">
        <w:rPr>
          <w:rFonts w:ascii="Times New Roman" w:eastAsia="Times New Roman" w:hAnsi="Times New Roman" w:cs="Times New Roman"/>
          <w:b/>
          <w:bCs/>
          <w:caps/>
          <w:color w:val="1A1A1A"/>
          <w:sz w:val="26"/>
          <w:szCs w:val="26"/>
        </w:rPr>
        <w:t>{ten_cong_ty}</w:t>
      </w:r>
    </w:p>
    <w:p w14:paraId="242483A9"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{dia_chi}</w:t>
      </w:r>
    </w:p>
    <w:p w14:paraId="27DBC01D"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{mst}</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26D5B59F" w14:textId="77777777" w:rsidTr="009577FE">
        <w:tc>
          <w:tcPr>
            <w:tcW w:w="0" w:type="auto"/>
            <w:tcBorders>
              <w:top w:val="nil"/>
              <w:left w:val="nil"/>
              <w:bottom w:val="nil"/>
              <w:right w:val="nil"/>
            </w:tcBorders>
            <w:hideMark/>
          </w:tcPr>
          <w:p w14:paraId="3465EA95"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Ông/Bà: </w:t>
            </w:r>
            <w:r w:rsidRPr="009577FE">
              <w:rPr>
                <w:rFonts w:ascii="Times New Roman" w:eastAsia="Times New Roman" w:hAnsi="Times New Roman" w:cs="Times New Roman"/>
                <w:b/>
                <w:bCs/>
                <w:color w:val="1A1A1A"/>
                <w:sz w:val="26"/>
                <w:szCs w:val="26"/>
              </w:rPr>
              <w:t>{nguoi_dai_dien}</w:t>
            </w:r>
          </w:p>
        </w:tc>
        <w:tc>
          <w:tcPr>
            <w:tcW w:w="3180" w:type="dxa"/>
            <w:tcBorders>
              <w:top w:val="nil"/>
              <w:left w:val="nil"/>
              <w:bottom w:val="nil"/>
              <w:right w:val="nil"/>
            </w:tcBorders>
            <w:hideMark/>
          </w:tcPr>
          <w:p w14:paraId="44E52BF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6FA56263"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w:t>
      </w:r>
    </w:p>
    <w:p w14:paraId="36BC50B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B: (Bên cung cấp dịch vụ):</w:t>
      </w:r>
    </w:p>
    <w:p w14:paraId="7170A9AF"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CÔNG TY CỔ PHẦN TƯ VẤN THUẾ SAVITAX</w:t>
      </w:r>
    </w:p>
    <w:p w14:paraId="0A2A836E"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16 Bình Lợi, Phường Bình Lợi Trung, Tp Hồ Chí Minh, Việt Nam</w:t>
      </w:r>
    </w:p>
    <w:p w14:paraId="1C00D95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0313 906 307</w:t>
      </w:r>
    </w:p>
    <w:p w14:paraId="679DE7C4"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Tài khoản Ngân hàng: Ngân Hàng Thương Mại Á Châu – CN Nguyễn Trãi</w:t>
      </w:r>
    </w:p>
    <w:p w14:paraId="2FD1474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Số tài khoản: 3878556868</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7097C71D" w14:textId="77777777" w:rsidTr="009577FE">
        <w:tc>
          <w:tcPr>
            <w:tcW w:w="0" w:type="auto"/>
            <w:tcBorders>
              <w:top w:val="nil"/>
              <w:left w:val="nil"/>
              <w:bottom w:val="nil"/>
              <w:right w:val="nil"/>
            </w:tcBorders>
            <w:hideMark/>
          </w:tcPr>
          <w:p w14:paraId="0AA78EE3"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Bà: </w:t>
            </w:r>
            <w:r w:rsidRPr="009577FE">
              <w:rPr>
                <w:rFonts w:ascii="Times New Roman" w:eastAsia="Times New Roman" w:hAnsi="Times New Roman" w:cs="Times New Roman"/>
                <w:b/>
                <w:bCs/>
                <w:color w:val="1A1A1A"/>
                <w:sz w:val="26"/>
                <w:szCs w:val="26"/>
              </w:rPr>
              <w:t>Đinh Thị Huyền</w:t>
            </w:r>
          </w:p>
        </w:tc>
        <w:tc>
          <w:tcPr>
            <w:tcW w:w="3180" w:type="dxa"/>
            <w:tcBorders>
              <w:top w:val="nil"/>
              <w:left w:val="nil"/>
              <w:bottom w:val="nil"/>
              <w:right w:val="nil"/>
            </w:tcBorders>
            <w:hideMark/>
          </w:tcPr>
          <w:p w14:paraId="5921611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09BE901C"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0989.666.253</w:t>
      </w:r>
    </w:p>
    <w:p w14:paraId="6EAB3D4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và bên B có thể được gọi là "các Bên". Sau khi thoả thuận các Bên nhất trí ký Hợp đồng này gồm các điều khoản sau:</w:t>
      </w:r>
    </w:p>
    <w:p w14:paraId="3A5B25C9"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1: Dịch vụ</w:t>
      </w:r>
    </w:p>
    <w:p w14:paraId="55C56B0E"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đồng ý cung cấp cho Bên A "Dịch vụ thực hiện tư vấn thuế chuyên nghiệp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theo phạm vi công việc được quy định cụ thể như sau:</w:t>
      </w:r>
    </w:p>
    <w:p w14:paraId="11A8EC8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dịch vụ tư vấn thuế theo quy định của Luật quản lý thuế và niên giám thuế.</w:t>
      </w:r>
    </w:p>
    <w:p w14:paraId="1886B4D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các dịch vụ tư vấn kê khai thuế, quyết toán thuế cho bên A đúng thời gian quy định.</w:t>
      </w:r>
    </w:p>
    <w:p w14:paraId="02D5302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47A4B536"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Trình bày, tư vấn về thuế trong quá trình thực hiện dịch vụ.</w:t>
      </w:r>
    </w:p>
    <w:p w14:paraId="14C8B42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Thực hiện các báo cáo đối với cơ quan thống kê.</w:t>
      </w:r>
    </w:p>
    <w:p w14:paraId="72B53834"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Bàn giao sổ file mềm kế toán theo quy định của Bộ tài chính.</w:t>
      </w:r>
    </w:p>
    <w:p w14:paraId="2D3A078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2: Thời hạn hợp đồng</w:t>
      </w:r>
    </w:p>
    <w:p w14:paraId="263F510F"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có hiệu lực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hết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Trong trường hợp hết hạn Hợp đồng mà các Bên không có thỏa thuận nào khác thì Hợp đồng đương nhiên gia hạn thêm một kỳ hạn tiếp theo, hai bên sẽ ký phụ lục gia hạn thời gian của hợp đồng. Trong trường hợp một Bên muốn chấm dứt hợp đồng trước hạn thì phải báo trước cho Bên kia bằng văn bản thời gian tối thiểu là 02 tháng và phải hoàn thành các nghĩa vụ và trách nhiệm được quy định tại Hợp đồng này.</w:t>
      </w:r>
    </w:p>
    <w:p w14:paraId="66157AD2"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3: Giao nhận chứng từ và báo cáo</w:t>
      </w:r>
    </w:p>
    <w:p w14:paraId="6115CA57"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3.1. Chứng từ Bên A giao cho Bên B.</w:t>
      </w:r>
    </w:p>
    <w:p w14:paraId="1C0055B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Hàng tháng chậm nhất vào ngày 05 bên A cung cấp hồ sơ, chứng từ cho bên B.</w:t>
      </w:r>
    </w:p>
    <w:p w14:paraId="53E4BC0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phần dữ liệu bên A cung cấp bên B sẽ xử lý và tiến hành làm các công việc được quy định tại Điều 1.</w:t>
      </w:r>
    </w:p>
    <w:p w14:paraId="090DFFA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3.2. Báo cáo Bên B giao cho Bên A.</w:t>
      </w:r>
    </w:p>
    <w:p w14:paraId="7915A2D3"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thuế hàng tháng, chậm nhất là ngày 20 tháng kế tiếp trừ trường hợp bên A bàn giao hồ sơ trễ so với quy định tại điểm 3.1 của điều này.</w:t>
      </w:r>
    </w:p>
    <w:p w14:paraId="4E146DD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cáo thuế hàng quý, chậm nhất là ngày 30 của tháng kế tiếp trừ trường hợp bên A bàn giao hồ sơ trễ so với quy định tại điểm 3.1 của điều này.</w:t>
      </w:r>
    </w:p>
    <w:p w14:paraId="00C6AE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Thời gian nộp các báo cáo thuế, báo cáo khác cho cơ quan quản lý nhà nước/cơ quan thuế không được muộn hơn thời hạn cuối cùng phải nộp theo quy định của pháp luật.</w:t>
      </w:r>
    </w:p>
    <w:p w14:paraId="611751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4: Phí dịch vụ và phương thức thanh toán</w:t>
      </w:r>
    </w:p>
    <w:p w14:paraId="56ADA212"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4.1. Phí dịch vụ:</w:t>
      </w:r>
    </w:p>
    <w:p w14:paraId="5E2F76B6" w14:textId="77777777" w:rsidR="009577FE" w:rsidRPr="009577FE" w:rsidRDefault="009577FE" w:rsidP="009577FE">
      <w:pPr>
        <w:numPr>
          <w:ilvl w:val="0"/>
          <w:numId w:val="5"/>
        </w:numPr>
        <w:spacing w:after="0"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bdr w:val="single" w:sz="6" w:space="2" w:color="F0D98C" w:frame="1"/>
          <w:shd w:val="clear" w:color="auto" w:fill="FFF8E1"/>
        </w:rPr>
        <w:t>Phí dịch vụ bắt đầu tính từ </w:t>
      </w:r>
      <w:r w:rsidRPr="009577FE">
        <w:rPr>
          <w:rFonts w:ascii="Times New Roman" w:eastAsia="Times New Roman" w:hAnsi="Times New Roman" w:cs="Times New Roman"/>
          <w:b/>
          <w:bCs/>
          <w:color w:val="1A1A1A"/>
          <w:sz w:val="26"/>
          <w:szCs w:val="26"/>
          <w:bdr w:val="single" w:sz="6" w:space="2" w:color="F0D98C" w:frame="1"/>
          <w:shd w:val="clear" w:color="auto" w:fill="FFF8E1"/>
        </w:rPr>
        <w:t>{tu_ngay}</w:t>
      </w:r>
      <w:r w:rsidRPr="009577FE">
        <w:rPr>
          <w:rFonts w:ascii="Times New Roman" w:eastAsia="Times New Roman" w:hAnsi="Times New Roman" w:cs="Times New Roman"/>
          <w:color w:val="1A1A1A"/>
          <w:sz w:val="26"/>
          <w:szCs w:val="26"/>
          <w:bdr w:val="single" w:sz="6" w:space="2" w:color="F0D98C" w:frame="1"/>
          <w:shd w:val="clear" w:color="auto" w:fill="FFF8E1"/>
        </w:rPr>
        <w:t> là </w:t>
      </w:r>
      <w:r w:rsidRPr="009577FE">
        <w:rPr>
          <w:rFonts w:ascii="Times New Roman" w:eastAsia="Times New Roman" w:hAnsi="Times New Roman" w:cs="Times New Roman"/>
          <w:b/>
          <w:bCs/>
          <w:color w:val="C0392B"/>
          <w:sz w:val="26"/>
          <w:szCs w:val="26"/>
          <w:bdr w:val="single" w:sz="6" w:space="2" w:color="F0D98C" w:frame="1"/>
          <w:shd w:val="clear" w:color="auto" w:fill="FFF8E1"/>
        </w:rPr>
        <w:t>{phi_dich_vu}đ/tháng</w:t>
      </w:r>
      <w:r w:rsidRPr="009577FE">
        <w:rPr>
          <w:rFonts w:ascii="Times New Roman" w:eastAsia="Times New Roman" w:hAnsi="Times New Roman" w:cs="Times New Roman"/>
          <w:color w:val="1A1A1A"/>
          <w:sz w:val="26"/>
          <w:szCs w:val="26"/>
          <w:bdr w:val="single" w:sz="6" w:space="2" w:color="F0D98C" w:frame="1"/>
          <w:shd w:val="clear" w:color="auto" w:fill="FFF8E1"/>
        </w:rPr>
        <w:t> (dưới 30 chứng từ) (Bằng chữ: </w:t>
      </w:r>
      <w:r w:rsidRPr="009577FE">
        <w:rPr>
          <w:rFonts w:ascii="Times New Roman" w:eastAsia="Times New Roman" w:hAnsi="Times New Roman" w:cs="Times New Roman"/>
          <w:b/>
          <w:bCs/>
          <w:color w:val="1A1A1A"/>
          <w:sz w:val="26"/>
          <w:szCs w:val="26"/>
          <w:bdr w:val="single" w:sz="6" w:space="2" w:color="F0D98C" w:frame="1"/>
          <w:shd w:val="clear" w:color="auto" w:fill="FFF8E1"/>
        </w:rPr>
        <w:t>{phi_bang_chu}/tháng</w:t>
      </w:r>
      <w:r w:rsidRPr="009577FE">
        <w:rPr>
          <w:rFonts w:ascii="Times New Roman" w:eastAsia="Times New Roman" w:hAnsi="Times New Roman" w:cs="Times New Roman"/>
          <w:color w:val="1A1A1A"/>
          <w:sz w:val="26"/>
          <w:szCs w:val="26"/>
          <w:bdr w:val="single" w:sz="6" w:space="2" w:color="F0D98C" w:frame="1"/>
          <w:shd w:val="clear" w:color="auto" w:fill="FFF8E1"/>
        </w:rPr>
        <w:t>).</w:t>
      </w:r>
      <w:r w:rsidRPr="009577FE">
        <w:rPr>
          <w:rFonts w:ascii="Times New Roman" w:eastAsia="Times New Roman" w:hAnsi="Times New Roman" w:cs="Times New Roman"/>
          <w:color w:val="1A1A1A"/>
          <w:sz w:val="26"/>
          <w:szCs w:val="26"/>
        </w:rPr>
        <w:t> Khi có phát sinh chứng từ tăng thêm đột biến thì phí theo phụ lục 01 đính kèm, sau khi hai bên đã thống nhất thông báo tăng phí.</w:t>
      </w:r>
    </w:p>
    <w:p w14:paraId="5DEA0CB7"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hành chính văn phòng nếu có nhu cầu sử dụng sẽ tính phí theo phụ lục 01 đính kèm.</w:t>
      </w:r>
    </w:p>
    <w:p w14:paraId="76F6B83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giải trình thanh kiểm tra quyết toán thuế tối thiểu 1 tháng phí dịch vụ/năm.</w:t>
      </w:r>
    </w:p>
    <w:p w14:paraId="72054FB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quá trình thực hiện, hai bên đều có quyền đề nghị thay đổi (giảm/tăng) phí dịch vụ tuỳ thuộc vào mức độ hoạt động của bên A, lạm phát kinh tế xã hội…; Bên B sẽ thông báo bằng văn bản với bên A trước một tháng nếu có sự thay đổi và ngược lại.</w:t>
      </w:r>
    </w:p>
    <w:p w14:paraId="50CF517B" w14:textId="1EAC9E0C" w:rsid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trên chưa bao gồm thuế VAT.</w:t>
      </w:r>
    </w:p>
    <w:p w14:paraId="156A00C7" w14:textId="02250A21" w:rsidR="009577FE" w:rsidRPr="009577FE" w:rsidRDefault="009577FE" w:rsidP="009577FE">
      <w:pPr>
        <w:rPr>
          <w:rFonts w:ascii="Times New Roman" w:eastAsia="Times New Roman" w:hAnsi="Times New Roman" w:cs="Times New Roman"/>
          <w:color w:val="1A1A1A"/>
          <w:sz w:val="26"/>
          <w:szCs w:val="26"/>
        </w:rPr>
      </w:pPr>
      <w:r>
        <w:rPr>
          <w:rFonts w:ascii="Times New Roman" w:eastAsia="Times New Roman" w:hAnsi="Times New Roman" w:cs="Times New Roman"/>
          <w:color w:val="1A1A1A"/>
          <w:sz w:val="26"/>
          <w:szCs w:val="26"/>
        </w:rPr>
        <w:br w:type="page"/>
      </w:r>
    </w:p>
    <w:p w14:paraId="3C75B23A"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lastRenderedPageBreak/>
        <w:t>4.2. Phương thức thanh toán:</w:t>
      </w:r>
    </w:p>
    <w:p w14:paraId="0A432D0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thanh toán cho Bên B bằng đồng Việt Nam bằng hình thức chuyển khoản đầu mỗi tháng, trước ngày 05 của tháng tiếp theo hoặc khi nhận được đề nghị thanh toán của bên B.</w:t>
      </w:r>
    </w:p>
    <w:p w14:paraId="4E23CD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5: Trách nhiệm của mỗi Bên</w:t>
      </w:r>
    </w:p>
    <w:p w14:paraId="4E9EAE4C"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5.1. Trách nhiệm của Bên A</w:t>
      </w:r>
    </w:p>
    <w:p w14:paraId="389166DC"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cung cấp kịp thời, đầy đủ cho Bên B các thông tin cần thiết, liên quan đến việc thực hiện dịch vụ theo yêu cầu của Bên B.</w:t>
      </w:r>
    </w:p>
    <w:p w14:paraId="3D23EA2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của Bên A phối hợp với Bên B và tạo điều kiện thuận lợi để Bên B có thể xem xét và thu thập các thông tin cần thiết cho việc thực hiện dịch vụ.</w:t>
      </w:r>
    </w:p>
    <w:p w14:paraId="25DB9B8A"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hoàn toàn trách nhiệm về tính pháp lý của chứng từ mà Bên A cung cấp liên quan đến việc thực hiện dịch vụ.</w:t>
      </w:r>
    </w:p>
    <w:p w14:paraId="74EAB2C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phạt 02 tháng phí dịch vụ kê khai thuế nếu vi phạm về thời gian báo trước, thanh lý hợp đồng trước hạn, vi phạm về thời hạn thanh toán.</w:t>
      </w:r>
    </w:p>
    <w:p w14:paraId="6AD97E9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34DA624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5.2. Trách nhiệm của Bên B</w:t>
      </w:r>
    </w:p>
    <w:p w14:paraId="38F8847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đảm bảo cung cấp dịch vụ theo đúng phạm vi công việc quy định tại Điều 1.</w:t>
      </w:r>
    </w:p>
    <w:p w14:paraId="30FEF18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công việc theo như kế hoạch và theo đúng các nguyên tắc độc lập, khách quan và bảo mật.</w:t>
      </w:r>
    </w:p>
    <w:p w14:paraId="3F8453C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và chuyên viên có năng lực, kinh nghiệm thực hiện công việc.</w:t>
      </w:r>
    </w:p>
    <w:p w14:paraId="528FF388"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cơ sở vật chất được bố trí để thực hiện những dịch vụ.</w:t>
      </w:r>
    </w:p>
    <w:p w14:paraId="777E7F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Thay mặt Bên A được toàn quyền làm việc và giải trình với cơ quan thuế trên cơ sở đã trình bày trước với bên A.</w:t>
      </w:r>
    </w:p>
    <w:p w14:paraId="4AE481BB"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chịu trách nhiệm đối với các khoản phạt vi phạm hành chính, chậm trễ thực hiện được xác định lỗi do Bên B tối đa không quá 3 tháng phí dịch vụ.</w:t>
      </w:r>
    </w:p>
    <w:p w14:paraId="3B51C7DD"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6: Cam kết các bên</w:t>
      </w:r>
    </w:p>
    <w:p w14:paraId="4B6D367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Bên tham gia Hợp đồng cam kết thực hiện tất cả các điều khoản của Hợp đồng. Trong quá trình thực hiện Hợp đồng mỗi Bên phải thông báo cho Bên kia kịp thời những vướng mắc cản trở việc thực hiện thành công Hợp đồng này để Bên kia cùng thảo luận và tìm biện pháp giải quyết. Thông tin trao đổi sẽ được thực hiện trên văn bản, fax và Email gửi đến địa chỉ đã nêu ở trên của mỗi Bên.</w:t>
      </w:r>
    </w:p>
    <w:p w14:paraId="37CF2A27"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7: Bảo mật thông tin</w:t>
      </w:r>
    </w:p>
    <w:p w14:paraId="2190F97B"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những điều khoản trên Hợp đồng và thời hạn chấm dứt hay kết thúc Hợp đồng bởi bất kỳ lý do gì. Bên B và nhân viên bên B:</w:t>
      </w:r>
    </w:p>
    <w:p w14:paraId="51BF98F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 xml:space="preserve">Không được tiết lộ cho bất cứ Bên thứ 3 kể cả cơ quan có thẩm quyền bất kỳ thông tin nào của bên A, không giới hạn những thông tin bảo mật, nguyên vật liệu, tài liệu </w:t>
      </w:r>
      <w:r w:rsidRPr="009577FE">
        <w:rPr>
          <w:rFonts w:ascii="Times New Roman" w:eastAsia="Times New Roman" w:hAnsi="Times New Roman" w:cs="Times New Roman"/>
          <w:color w:val="1A1A1A"/>
          <w:sz w:val="26"/>
          <w:szCs w:val="26"/>
        </w:rPr>
        <w:lastRenderedPageBreak/>
        <w:t>liên quan đến hoạt động kinh doanh, tài chính hay bất kỳ chế độ phúc lợi nào của bên A hoặc các Công ty con hay Công ty liên quan đến bên A nếu không được sự đồng ý của bên A.</w:t>
      </w:r>
    </w:p>
    <w:p w14:paraId="3E5BCE7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Không sử dụng những thông tin bí mật cho mục đích khác ngoài những nghĩa vụ được thể hiện trong Hợp đồng này.</w:t>
      </w:r>
    </w:p>
    <w:p w14:paraId="630C6E70"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trường hợp Bên B phải cung cấp thông tin mật theo quyết định, yêu cầu của cơ quan chức năng Việt Nam, Bên B phải thông báo cho Bên A trong thời gian sớm nhất, nhưng không thể chậm hơn 5 ngày làm việc kể từ ngày nhận được yêu cầu của cơ quan chức năng Việt Nam.</w:t>
      </w:r>
    </w:p>
    <w:p w14:paraId="6EF5BC44"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8: Mâu thuẫn lợi ích</w:t>
      </w:r>
    </w:p>
    <w:p w14:paraId="6444670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bảo đảm không thực hiện bất kỳ hành vi nào gây nguy hại hoặc mâu thuẫn với những lợi ích của Bên A.</w:t>
      </w:r>
    </w:p>
    <w:p w14:paraId="2F3147CB"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9: Điều khoản chung</w:t>
      </w:r>
    </w:p>
    <w:p w14:paraId="109BFED5"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9.1. Hợp đồng sẽ có hiệu lực kể từ ngày ký, Điều 7 và Điều 8 sẽ duy trì hiệu lực của hợp đồng sau khi Hợp đồng bị chấm dứt.</w:t>
      </w:r>
    </w:p>
    <w:p w14:paraId="4B8BDAD0"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9.2. Hợp đồng sẽ được thanh lý sau khi các Bên thực hiện đầy đủ những lời cam kết được ghi rõ trong hợp đồng.</w:t>
      </w:r>
    </w:p>
    <w:p w14:paraId="4F56488F"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9.3. Nếu không có giải pháp sau khi thương lượng, các tranh chấp phát sinh liên quan đến Hợp đồng này sẽ giải quyết tại Trung tâm trọng tài Việt Nam tại Tp.HCM theo quy tắc tố tụng trọng tài Trung tâm này. Phán quyết của trọng tài là chung thẩm và có hiệu lực thi hành đối với tất cả các Bên. Bên thua kiện sẽ phải trả chi phí cho trọng tài.</w:t>
      </w:r>
    </w:p>
    <w:p w14:paraId="3C2A7E7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9.4. Hợp đồng này được lập thành 02 bản tiếng Việt có giá trị pháp lý như nhau, mỗi bên giữ 01 bản.</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4C42A24A" w14:textId="77777777" w:rsidTr="009577FE">
        <w:tc>
          <w:tcPr>
            <w:tcW w:w="4677" w:type="dxa"/>
            <w:tcBorders>
              <w:top w:val="nil"/>
              <w:left w:val="nil"/>
              <w:bottom w:val="nil"/>
              <w:right w:val="nil"/>
            </w:tcBorders>
            <w:tcMar>
              <w:top w:w="0" w:type="dxa"/>
              <w:left w:w="90" w:type="dxa"/>
              <w:bottom w:w="0" w:type="dxa"/>
              <w:right w:w="90" w:type="dxa"/>
            </w:tcMar>
            <w:hideMark/>
          </w:tcPr>
          <w:p w14:paraId="4542D0B5"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2F4D870C"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4EA1313F" w14:textId="77777777" w:rsidTr="009577FE">
        <w:tc>
          <w:tcPr>
            <w:tcW w:w="4677" w:type="dxa"/>
            <w:tcBorders>
              <w:top w:val="nil"/>
              <w:left w:val="nil"/>
              <w:bottom w:val="nil"/>
              <w:right w:val="nil"/>
            </w:tcBorders>
            <w:tcMar>
              <w:top w:w="30" w:type="dxa"/>
              <w:left w:w="90" w:type="dxa"/>
              <w:bottom w:w="0" w:type="dxa"/>
              <w:right w:w="90" w:type="dxa"/>
            </w:tcMar>
            <w:hideMark/>
          </w:tcPr>
          <w:p w14:paraId="3358BCF0"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6E5504AC"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42F3D161"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18EB13FB"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0D6A52B6"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4AE072E1" w14:textId="77777777" w:rsidTr="009577FE">
        <w:tc>
          <w:tcPr>
            <w:tcW w:w="4677" w:type="dxa"/>
            <w:tcBorders>
              <w:top w:val="nil"/>
              <w:left w:val="nil"/>
              <w:bottom w:val="nil"/>
              <w:right w:val="nil"/>
            </w:tcBorders>
            <w:tcMar>
              <w:top w:w="0" w:type="dxa"/>
              <w:left w:w="90" w:type="dxa"/>
              <w:bottom w:w="0" w:type="dxa"/>
              <w:right w:w="90" w:type="dxa"/>
            </w:tcMar>
            <w:hideMark/>
          </w:tcPr>
          <w:p w14:paraId="1EB45819"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7A4731A"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5B64D32F" w14:textId="77777777" w:rsidR="009577FE" w:rsidRDefault="009577FE" w:rsidP="009577FE">
      <w:pPr>
        <w:spacing w:after="120" w:line="240" w:lineRule="auto"/>
        <w:jc w:val="center"/>
        <w:rPr>
          <w:rFonts w:ascii="Times New Roman" w:eastAsia="Times New Roman" w:hAnsi="Times New Roman" w:cs="Times New Roman"/>
          <w:b/>
          <w:bCs/>
          <w:color w:val="8B1A1A"/>
          <w:sz w:val="28"/>
          <w:szCs w:val="28"/>
        </w:rPr>
      </w:pPr>
    </w:p>
    <w:p w14:paraId="0485BDEF" w14:textId="77777777" w:rsidR="009577FE" w:rsidRDefault="009577FE">
      <w:pPr>
        <w:rPr>
          <w:rFonts w:ascii="Times New Roman" w:eastAsia="Times New Roman" w:hAnsi="Times New Roman" w:cs="Times New Roman"/>
          <w:b/>
          <w:bCs/>
          <w:color w:val="8B1A1A"/>
          <w:sz w:val="28"/>
          <w:szCs w:val="28"/>
        </w:rPr>
      </w:pPr>
      <w:r>
        <w:rPr>
          <w:rFonts w:ascii="Times New Roman" w:eastAsia="Times New Roman" w:hAnsi="Times New Roman" w:cs="Times New Roman"/>
          <w:b/>
          <w:bCs/>
          <w:color w:val="8B1A1A"/>
          <w:sz w:val="28"/>
          <w:szCs w:val="28"/>
        </w:rPr>
        <w:br w:type="page"/>
      </w:r>
    </w:p>
    <w:p w14:paraId="1FA3F1B0" w14:textId="46068E16" w:rsidR="009577FE" w:rsidRPr="009577FE" w:rsidRDefault="009577FE" w:rsidP="009577FE">
      <w:pPr>
        <w:spacing w:after="120" w:line="240" w:lineRule="auto"/>
        <w:jc w:val="center"/>
        <w:rPr>
          <w:rFonts w:ascii="Times New Roman" w:eastAsia="Times New Roman" w:hAnsi="Times New Roman" w:cs="Times New Roman"/>
          <w:b/>
          <w:bCs/>
          <w:color w:val="8B1A1A"/>
          <w:sz w:val="28"/>
          <w:szCs w:val="28"/>
        </w:rPr>
      </w:pPr>
      <w:r w:rsidRPr="009577FE">
        <w:rPr>
          <w:rFonts w:ascii="Times New Roman" w:eastAsia="Times New Roman" w:hAnsi="Times New Roman" w:cs="Times New Roman"/>
          <w:b/>
          <w:bCs/>
          <w:color w:val="8B1A1A"/>
          <w:sz w:val="28"/>
          <w:szCs w:val="28"/>
        </w:rPr>
        <w:lastRenderedPageBreak/>
        <w:t>PHỤ LỤC SỐ 01</w:t>
      </w:r>
    </w:p>
    <w:p w14:paraId="6F7BBF82"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dịch vụ thực hiện các thủ tục thuế, tư vấn thuế và thủ tục về hành chính nhân sự cụ thể như sau:</w:t>
      </w:r>
    </w:p>
    <w:p w14:paraId="796EBE82"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TƯ VẤN THUẾ TRỌN GÓI:</w:t>
      </w:r>
    </w:p>
    <w:tbl>
      <w:tblPr>
        <w:tblW w:w="9355" w:type="dxa"/>
        <w:tblCellMar>
          <w:left w:w="0" w:type="dxa"/>
          <w:right w:w="0" w:type="dxa"/>
        </w:tblCellMar>
        <w:tblLook w:val="04A0" w:firstRow="1" w:lastRow="0" w:firstColumn="1" w:lastColumn="0" w:noHBand="0" w:noVBand="1"/>
      </w:tblPr>
      <w:tblGrid>
        <w:gridCol w:w="413"/>
        <w:gridCol w:w="2252"/>
        <w:gridCol w:w="2575"/>
        <w:gridCol w:w="1618"/>
        <w:gridCol w:w="2497"/>
      </w:tblGrid>
      <w:tr w:rsidR="009577FE" w:rsidRPr="009577FE" w14:paraId="52057977"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88F6ACD"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10111C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chứng từ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1135722"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không tính giá thành, tư vấn</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1E027F6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Ngành thương mại</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0DE7A4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có giá thành, SX, Xây dựng</w:t>
            </w:r>
          </w:p>
        </w:tc>
      </w:tr>
      <w:tr w:rsidR="009577FE" w:rsidRPr="009577FE" w14:paraId="770ABD70"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11A04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A3D7ECF"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Không phát sinh</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436909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55859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7F3979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r>
      <w:tr w:rsidR="009577FE" w:rsidRPr="009577FE" w14:paraId="7AE1CBB6"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212662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6E4BDF4"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0581B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F3218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FF0FB3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4.000.000</w:t>
            </w:r>
          </w:p>
        </w:tc>
      </w:tr>
      <w:tr w:rsidR="009577FE" w:rsidRPr="009577FE" w14:paraId="41042C5A"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350EC7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28B977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11 → 20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03ED06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4CECCC6"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92A65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r>
      <w:tr w:rsidR="009577FE" w:rsidRPr="009577FE" w14:paraId="441F71E0"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8263CE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DFA68D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21 → 30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A93F50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92C55A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4DFAD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1B839272"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5607B1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15DE2B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31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9D042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Thoả thuận</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5A37460"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AB48CA0"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2195DB5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ngành dịch vụ, sản xuất và xây dựng còn phụ thuộc vào đặc thù sản xuất, dịch vụ và tính chất công trình. Công ty có yếu tố nước ngoài phí dịch vụ cộng thêm 30% theo biểu phí. Phí chưa bao gồm VAT.</w:t>
      </w:r>
    </w:p>
    <w:p w14:paraId="0D0D17E4"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HÀNH CHÍNH NHÂN SỰ:</w:t>
      </w:r>
    </w:p>
    <w:tbl>
      <w:tblPr>
        <w:tblW w:w="9355" w:type="dxa"/>
        <w:tblCellMar>
          <w:left w:w="0" w:type="dxa"/>
          <w:right w:w="0" w:type="dxa"/>
        </w:tblCellMar>
        <w:tblLook w:val="04A0" w:firstRow="1" w:lastRow="0" w:firstColumn="1" w:lastColumn="0" w:noHBand="0" w:noVBand="1"/>
      </w:tblPr>
      <w:tblGrid>
        <w:gridCol w:w="413"/>
        <w:gridCol w:w="3118"/>
        <w:gridCol w:w="1504"/>
        <w:gridCol w:w="1844"/>
        <w:gridCol w:w="2476"/>
      </w:tblGrid>
      <w:tr w:rsidR="009577FE" w:rsidRPr="009577FE" w14:paraId="70F7B65F"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A5A3389"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0177E0F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lao động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EFE478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C0B2A83"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không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36ABD9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&amp; không tham gia BHXH</w:t>
            </w:r>
          </w:p>
        </w:tc>
      </w:tr>
      <w:tr w:rsidR="009577FE" w:rsidRPr="009577FE" w14:paraId="43E6DAA5"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A1C520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B837F3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LĐ BHXH / Dưới 100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EB4C61C"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8210B8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6C4B8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2.000.000</w:t>
            </w:r>
          </w:p>
        </w:tc>
      </w:tr>
      <w:tr w:rsidR="009577FE" w:rsidRPr="009577FE" w14:paraId="3AAF9501"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5EC51C"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0BC7C7D"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10 đến dưới 20 LĐ BHXH / 100–200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00C5E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B486A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9FACA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3.500.000</w:t>
            </w:r>
          </w:p>
        </w:tc>
      </w:tr>
      <w:tr w:rsidR="009577FE" w:rsidRPr="009577FE" w14:paraId="1010F59C"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F4176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B320A8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20 đến dưới 30 LĐ BHXH / 200–300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9C9D31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EB456E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7778AB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5.000.000</w:t>
            </w:r>
          </w:p>
        </w:tc>
      </w:tr>
      <w:tr w:rsidR="009577FE" w:rsidRPr="009577FE" w14:paraId="5E624C42"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5AB097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D96B8A7"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30 đến dưới 40 LĐ BHXH / 300–400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36AEEA"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EE13573"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0CC72F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09F46FA9"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146F77"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053339"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40 đến dưới 50 LĐ BHXH / 400–500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D8AE972"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52AAF2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18E44D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10.000.000</w:t>
            </w:r>
          </w:p>
        </w:tc>
      </w:tr>
      <w:tr w:rsidR="009577FE" w:rsidRPr="009577FE" w14:paraId="46DD63FF"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16C61AB"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5EB843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51 LĐ BHXH / Trên 500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73CC49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Thỏa thuận</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14ED5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861B159"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3651FE1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Đăng ký lao động, hồ sơ BHXH, BHYT, BHTN, Công đoàn lần đầu với số lượng dưới 10 người: 3.000.000đ (chưa bao gồm VAT) và 1.000.000đ/lần phát sinh tăng/giảm hàng tháng.</w:t>
      </w:r>
    </w:p>
    <w:p w14:paraId="028E552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Lưu ý:</w:t>
      </w:r>
    </w:p>
    <w:p w14:paraId="2965C955"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quận Thủ Đức, quận 2, quận 7, quận 9 phụ thu tiền xăng 200.000đ/tháng. Các Huyện Nhà Bè, Bình Chán</w:t>
      </w:r>
      <w:bookmarkStart w:id="0" w:name="_GoBack"/>
      <w:bookmarkEnd w:id="0"/>
      <w:r w:rsidRPr="009577FE">
        <w:rPr>
          <w:rFonts w:ascii="Times New Roman" w:eastAsia="Times New Roman" w:hAnsi="Times New Roman" w:cs="Times New Roman"/>
          <w:color w:val="1A1A1A"/>
          <w:sz w:val="26"/>
          <w:szCs w:val="26"/>
        </w:rPr>
        <w:t>h, Hóc Môn, Củ Chi phụ thu tiền xăng 500.000đ/tháng.</w:t>
      </w:r>
    </w:p>
    <w:p w14:paraId="40E987A4"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còn phụ thuộc vào tình hình đặc thù của từng doanh nghiệp.</w:t>
      </w:r>
    </w:p>
    <w:p w14:paraId="5A056D2D"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Giá trên chưa bao gồm thuế giá trị gia tăng và các loại thuế DN phải nộp cho cơ quan thuế.</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33D62F47" w14:textId="77777777" w:rsidTr="009577FE">
        <w:tc>
          <w:tcPr>
            <w:tcW w:w="4677" w:type="dxa"/>
            <w:tcBorders>
              <w:top w:val="nil"/>
              <w:left w:val="nil"/>
              <w:bottom w:val="nil"/>
              <w:right w:val="nil"/>
            </w:tcBorders>
            <w:tcMar>
              <w:top w:w="0" w:type="dxa"/>
              <w:left w:w="90" w:type="dxa"/>
              <w:bottom w:w="0" w:type="dxa"/>
              <w:right w:w="90" w:type="dxa"/>
            </w:tcMar>
            <w:hideMark/>
          </w:tcPr>
          <w:p w14:paraId="1D3A45F2"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5F9A0C49"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1DA12387" w14:textId="77777777" w:rsidTr="009577FE">
        <w:tc>
          <w:tcPr>
            <w:tcW w:w="4677" w:type="dxa"/>
            <w:tcBorders>
              <w:top w:val="nil"/>
              <w:left w:val="nil"/>
              <w:bottom w:val="nil"/>
              <w:right w:val="nil"/>
            </w:tcBorders>
            <w:tcMar>
              <w:top w:w="30" w:type="dxa"/>
              <w:left w:w="90" w:type="dxa"/>
              <w:bottom w:w="0" w:type="dxa"/>
              <w:right w:w="90" w:type="dxa"/>
            </w:tcMar>
            <w:hideMark/>
          </w:tcPr>
          <w:p w14:paraId="3AE079B4"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50A9D019"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2F58D99D"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49DCC0B8"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34DA220B"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3695BC53" w14:textId="77777777" w:rsidTr="009577FE">
        <w:tc>
          <w:tcPr>
            <w:tcW w:w="4677" w:type="dxa"/>
            <w:tcBorders>
              <w:top w:val="nil"/>
              <w:left w:val="nil"/>
              <w:bottom w:val="nil"/>
              <w:right w:val="nil"/>
            </w:tcBorders>
            <w:tcMar>
              <w:top w:w="0" w:type="dxa"/>
              <w:left w:w="90" w:type="dxa"/>
              <w:bottom w:w="0" w:type="dxa"/>
              <w:right w:w="90" w:type="dxa"/>
            </w:tcMar>
            <w:hideMark/>
          </w:tcPr>
          <w:p w14:paraId="7EA118CC"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541563B"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27CBD597" w14:textId="77777777" w:rsidR="007372A3" w:rsidRDefault="007372A3"/>
    <w:sectPr w:rsidR="007372A3" w:rsidSect="009577FE">
      <w:headerReference w:type="even" r:id="rId7"/>
      <w:headerReference w:type="default" r:id="rId8"/>
      <w:footerReference w:type="default" r:id="rId9"/>
      <w:headerReference w:type="first" r:id="rId10"/>
      <w:pgSz w:w="12240" w:h="15840"/>
      <w:pgMar w:top="950" w:right="1440" w:bottom="1440" w:left="1440" w:header="20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8B1C93" w14:textId="77777777" w:rsidR="00791DD6" w:rsidRDefault="00791DD6" w:rsidP="009577FE">
      <w:pPr>
        <w:spacing w:after="0" w:line="240" w:lineRule="auto"/>
      </w:pPr>
      <w:r>
        <w:separator/>
      </w:r>
    </w:p>
  </w:endnote>
  <w:endnote w:type="continuationSeparator" w:id="0">
    <w:p w14:paraId="7901ACBB" w14:textId="77777777" w:rsidR="00791DD6" w:rsidRDefault="00791DD6" w:rsidP="0095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C2B7AF" w14:textId="5A341800" w:rsidR="009577FE" w:rsidRPr="009577FE" w:rsidRDefault="009577FE" w:rsidP="001379AB">
    <w:pPr>
      <w:pBdr>
        <w:top w:val="single" w:sz="24" w:space="1" w:color="F08A2E"/>
      </w:pBdr>
      <w:shd w:val="clear" w:color="auto" w:fill="FFFFFF"/>
      <w:spacing w:after="0" w:line="240" w:lineRule="auto"/>
      <w:jc w:val="center"/>
      <w:rPr>
        <w:rFonts w:ascii="Times New Roman" w:eastAsia="Times New Roman" w:hAnsi="Times New Roman" w:cs="Times New Roman"/>
        <w:b/>
        <w:bCs/>
        <w:color w:val="8B1A1A"/>
        <w:sz w:val="21"/>
        <w:szCs w:val="21"/>
      </w:rPr>
    </w:pPr>
    <w:r w:rsidRPr="009577FE">
      <w:rPr>
        <w:rFonts w:ascii="Times New Roman" w:eastAsia="Times New Roman" w:hAnsi="Times New Roman" w:cs="Times New Roman"/>
        <w:b/>
        <w:bCs/>
        <w:color w:val="8B1A1A"/>
        <w:sz w:val="21"/>
        <w:szCs w:val="21"/>
      </w:rPr>
      <w:t>CÔNG TY CỔ PHẦN TƯ VẤN THUẾ SAVITAX</w:t>
    </w:r>
  </w:p>
  <w:p w14:paraId="0E0D5EE9" w14:textId="706EA2A9"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Website: www.savitax.vn</w:t>
    </w:r>
  </w:p>
  <w:p w14:paraId="24B8C01F" w14:textId="159CD94C"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Hotline: 0989 666 253 (Ms. Huyền) – 0916 084 266 (Ms. Trang)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FBB1ED" w14:textId="77777777" w:rsidR="00791DD6" w:rsidRDefault="00791DD6" w:rsidP="009577FE">
      <w:pPr>
        <w:spacing w:after="0" w:line="240" w:lineRule="auto"/>
      </w:pPr>
      <w:r>
        <w:separator/>
      </w:r>
    </w:p>
  </w:footnote>
  <w:footnote w:type="continuationSeparator" w:id="0">
    <w:p w14:paraId="59710422" w14:textId="77777777" w:rsidR="00791DD6" w:rsidRDefault="00791DD6" w:rsidP="0095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37C1B9" w14:textId="25B9F998" w:rsidR="004058F2" w:rsidRDefault="00791DD6">
    <w:pPr>
      <w:pStyle w:val="Header"/>
    </w:pPr>
    <w:r>
      <w:rPr>
        <w:noProof/>
      </w:rPr>
      <w:pict w14:anchorId="6AA90F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4" o:spid="_x0000_s2052" type="#_x0000_t75" style="position:absolute;margin-left:0;margin-top:0;width:467.9pt;height:467.9pt;z-index:-251654144;mso-position-horizontal:center;mso-position-horizontal-relative:margin;mso-position-vertical:center;mso-position-vertical-relative:margin" o:allowincell="f">
          <v:imagedata r:id="rId1" o:title="logo-savitax"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Borders>
        <w:top w:val="none" w:sz="0" w:space="0" w:color="auto"/>
        <w:left w:val="none" w:sz="0" w:space="0" w:color="auto"/>
        <w:bottom w:val="single" w:sz="24" w:space="0" w:color="F08A2E"/>
        <w:right w:val="none" w:sz="0" w:space="0" w:color="auto"/>
        <w:insideH w:val="none" w:sz="0" w:space="0" w:color="auto"/>
        <w:insideV w:val="none" w:sz="0" w:space="0" w:color="auto"/>
      </w:tblBorders>
      <w:tblLook w:val="04A0" w:firstRow="1" w:lastRow="0" w:firstColumn="1" w:lastColumn="0" w:noHBand="0" w:noVBand="1"/>
    </w:tblPr>
    <w:tblGrid>
      <w:gridCol w:w="1696"/>
      <w:gridCol w:w="7654"/>
    </w:tblGrid>
    <w:tr w:rsidR="009577FE" w14:paraId="4D824018" w14:textId="77777777" w:rsidTr="001379AB">
      <w:trPr>
        <w:trHeight w:val="700"/>
      </w:trPr>
      <w:tc>
        <w:tcPr>
          <w:tcW w:w="1696" w:type="dxa"/>
        </w:tcPr>
        <w:p w14:paraId="1BEBECBF" w14:textId="4684B246" w:rsidR="009577FE" w:rsidRDefault="009577FE">
          <w:pPr>
            <w:pStyle w:val="Header"/>
          </w:pPr>
          <w:r>
            <w:rPr>
              <w:noProof/>
            </w:rPr>
            <w:drawing>
              <wp:anchor distT="0" distB="0" distL="114300" distR="114300" simplePos="0" relativeHeight="251660288" behindDoc="0" locked="0" layoutInCell="1" allowOverlap="1" wp14:anchorId="66CB2F69" wp14:editId="12CB2403">
                <wp:simplePos x="0" y="0"/>
                <wp:positionH relativeFrom="column">
                  <wp:posOffset>-3175</wp:posOffset>
                </wp:positionH>
                <wp:positionV relativeFrom="paragraph">
                  <wp:posOffset>-3810</wp:posOffset>
                </wp:positionV>
                <wp:extent cx="605800" cy="424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5800" cy="424600"/>
                        </a:xfrm>
                        <a:prstGeom prst="rect">
                          <a:avLst/>
                        </a:prstGeom>
                        <a:noFill/>
                        <a:ln>
                          <a:noFill/>
                        </a:ln>
                      </pic:spPr>
                    </pic:pic>
                  </a:graphicData>
                </a:graphic>
              </wp:anchor>
            </w:drawing>
          </w:r>
        </w:p>
      </w:tc>
      <w:tc>
        <w:tcPr>
          <w:tcW w:w="7654" w:type="dxa"/>
          <w:vAlign w:val="bottom"/>
        </w:tcPr>
        <w:p w14:paraId="60987A7B" w14:textId="77777777" w:rsidR="009577FE" w:rsidRPr="009577FE" w:rsidRDefault="009577FE" w:rsidP="009577FE">
          <w:pPr>
            <w:jc w:val="center"/>
            <w:rPr>
              <w:rFonts w:ascii="Times New Roman" w:hAnsi="Times New Roman" w:cs="Times New Roman"/>
              <w:b/>
              <w:bCs/>
              <w:color w:val="8B1A1A"/>
              <w:sz w:val="27"/>
              <w:szCs w:val="27"/>
            </w:rPr>
          </w:pPr>
          <w:r w:rsidRPr="009577FE">
            <w:rPr>
              <w:rFonts w:ascii="Times New Roman" w:hAnsi="Times New Roman" w:cs="Times New Roman"/>
              <w:b/>
              <w:bCs/>
              <w:color w:val="8B1A1A"/>
              <w:sz w:val="27"/>
              <w:szCs w:val="27"/>
            </w:rPr>
            <w:t>CÔNG TY CỔ PHẦN TƯ VẤN THUẾ SAVITAX</w:t>
          </w:r>
        </w:p>
        <w:p w14:paraId="44E62E12" w14:textId="330FC9CE" w:rsidR="009577FE" w:rsidRPr="009577FE" w:rsidRDefault="009577FE" w:rsidP="009577FE">
          <w:pPr>
            <w:pStyle w:val="Header"/>
            <w:jc w:val="center"/>
            <w:rPr>
              <w:rFonts w:ascii="Times New Roman" w:hAnsi="Times New Roman" w:cs="Times New Roman"/>
            </w:rPr>
          </w:pPr>
          <w:r w:rsidRPr="009577FE">
            <w:rPr>
              <w:rFonts w:ascii="Times New Roman" w:hAnsi="Times New Roman" w:cs="Times New Roman"/>
              <w:color w:val="444444"/>
              <w:sz w:val="20"/>
              <w:szCs w:val="20"/>
            </w:rPr>
            <w:t>16 Bình Lợi, Phường Bình Lợi Trung, Thành phố Hồ Chí Minh</w:t>
          </w:r>
        </w:p>
      </w:tc>
    </w:tr>
  </w:tbl>
  <w:sdt>
    <w:sdtPr>
      <w:id w:val="1941112780"/>
      <w:docPartObj>
        <w:docPartGallery w:val="Watermarks"/>
        <w:docPartUnique/>
      </w:docPartObj>
    </w:sdtPr>
    <w:sdtEndPr/>
    <w:sdtContent>
      <w:p w14:paraId="4DFF51B4" w14:textId="72B79B04" w:rsidR="009577FE" w:rsidRDefault="00791DD6" w:rsidP="009577FE">
        <w:pPr>
          <w:pStyle w:val="Header"/>
          <w:spacing w:before="0" w:after="0" w:line="20" w:lineRule="exact"/>
          <w:rPr>
            <w:sz w:val="2"/>
          </w:rPr>
        </w:pPr>
        <w:r>
          <w:rPr>
            <w:noProof/>
          </w:rPr>
          <w:pict w14:anchorId="08C2E3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5" o:spid="_x0000_s2053" type="#_x0000_t75" style="position:absolute;margin-left:68.4pt;margin-top:143.25pt;width:330.5pt;height:330.5pt;z-index:-251653120;mso-position-horizontal-relative:margin;mso-position-vertical-relative:margin" o:allowincell="f">
              <v:imagedata r:id="rId2" o:title="logo-savitax"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8999FF" w14:textId="56D9D310" w:rsidR="004058F2" w:rsidRDefault="00791DD6">
    <w:pPr>
      <w:pStyle w:val="Header"/>
    </w:pPr>
    <w:r>
      <w:rPr>
        <w:noProof/>
      </w:rPr>
      <w:pict w14:anchorId="7D8300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3" o:spid="_x0000_s2051" type="#_x0000_t75" style="position:absolute;margin-left:0;margin-top:0;width:467.9pt;height:467.9pt;z-index:-251655168;mso-position-horizontal:center;mso-position-horizontal-relative:margin;mso-position-vertical:center;mso-position-vertical-relative:margin" o:allowincell="f">
          <v:imagedata r:id="rId1" o:title="logo-savitax"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A040D"/>
    <w:multiLevelType w:val="multilevel"/>
    <w:tmpl w:val="4CE8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04681"/>
    <w:multiLevelType w:val="multilevel"/>
    <w:tmpl w:val="329A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91941"/>
    <w:multiLevelType w:val="multilevel"/>
    <w:tmpl w:val="150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D4245"/>
    <w:multiLevelType w:val="multilevel"/>
    <w:tmpl w:val="2A6CC662"/>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4" w15:restartNumberingAfterBreak="0">
    <w:nsid w:val="3F956E29"/>
    <w:multiLevelType w:val="multilevel"/>
    <w:tmpl w:val="EC4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1F3294"/>
    <w:multiLevelType w:val="multilevel"/>
    <w:tmpl w:val="10A2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601A2"/>
    <w:multiLevelType w:val="multilevel"/>
    <w:tmpl w:val="81DA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0C2899"/>
    <w:multiLevelType w:val="multilevel"/>
    <w:tmpl w:val="8260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A534E1"/>
    <w:multiLevelType w:val="multilevel"/>
    <w:tmpl w:val="D628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num>
  <w:num w:numId="4">
    <w:abstractNumId w:val="0"/>
  </w:num>
  <w:num w:numId="5">
    <w:abstractNumId w:val="7"/>
  </w:num>
  <w:num w:numId="6">
    <w:abstractNumId w:val="8"/>
  </w:num>
  <w:num w:numId="7">
    <w:abstractNumId w:val="2"/>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7FE"/>
    <w:rsid w:val="001379AB"/>
    <w:rsid w:val="001B303E"/>
    <w:rsid w:val="00285ADA"/>
    <w:rsid w:val="004058F2"/>
    <w:rsid w:val="00670696"/>
    <w:rsid w:val="00727DA6"/>
    <w:rsid w:val="007372A3"/>
    <w:rsid w:val="00791DD6"/>
    <w:rsid w:val="009577FE"/>
    <w:rsid w:val="00A92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60191CDA"/>
  <w15:chartTrackingRefBased/>
  <w15:docId w15:val="{3F60660D-3236-418B-809A-F85A8DE9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577F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577F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7F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577FE"/>
    <w:rPr>
      <w:rFonts w:ascii="Times New Roman" w:eastAsia="Times New Roman" w:hAnsi="Times New Roman" w:cs="Times New Roman"/>
      <w:b/>
      <w:bCs/>
      <w:sz w:val="36"/>
      <w:szCs w:val="36"/>
    </w:rPr>
  </w:style>
  <w:style w:type="paragraph" w:customStyle="1" w:styleId="sohd">
    <w:name w:val="sohd"/>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ncu">
    <w:name w:val="cancu"/>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
    <w:name w:val="b"/>
    <w:basedOn w:val="DefaultParagraphFont"/>
    <w:rsid w:val="009577FE"/>
  </w:style>
  <w:style w:type="paragraph" w:customStyle="1" w:styleId="b1">
    <w:name w:val="b1"/>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eeline">
    <w:name w:val="feeline"/>
    <w:basedOn w:val="DefaultParagraphFont"/>
    <w:rsid w:val="009577FE"/>
  </w:style>
  <w:style w:type="paragraph" w:customStyle="1" w:styleId="plx">
    <w:name w:val="plx"/>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577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7FE"/>
  </w:style>
  <w:style w:type="paragraph" w:styleId="Footer">
    <w:name w:val="footer"/>
    <w:basedOn w:val="Normal"/>
    <w:link w:val="FooterChar"/>
    <w:uiPriority w:val="99"/>
    <w:unhideWhenUsed/>
    <w:rsid w:val="009577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7FE"/>
  </w:style>
  <w:style w:type="table" w:styleId="TableGrid">
    <w:name w:val="Table Grid"/>
    <w:basedOn w:val="TableNormal"/>
    <w:uiPriority w:val="39"/>
    <w:rsid w:val="00957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7752043">
      <w:bodyDiv w:val="1"/>
      <w:marLeft w:val="0"/>
      <w:marRight w:val="0"/>
      <w:marTop w:val="0"/>
      <w:marBottom w:val="0"/>
      <w:divBdr>
        <w:top w:val="none" w:sz="0" w:space="0" w:color="auto"/>
        <w:left w:val="none" w:sz="0" w:space="0" w:color="auto"/>
        <w:bottom w:val="none" w:sz="0" w:space="0" w:color="auto"/>
        <w:right w:val="none" w:sz="0" w:space="0" w:color="auto"/>
      </w:divBdr>
    </w:div>
    <w:div w:id="1627152476">
      <w:bodyDiv w:val="1"/>
      <w:marLeft w:val="0"/>
      <w:marRight w:val="0"/>
      <w:marTop w:val="0"/>
      <w:marBottom w:val="0"/>
      <w:divBdr>
        <w:top w:val="none" w:sz="0" w:space="0" w:color="auto"/>
        <w:left w:val="none" w:sz="0" w:space="0" w:color="auto"/>
        <w:bottom w:val="none" w:sz="0" w:space="0" w:color="auto"/>
        <w:right w:val="none" w:sz="0" w:space="0" w:color="auto"/>
      </w:divBdr>
    </w:div>
    <w:div w:id="1806042705">
      <w:bodyDiv w:val="1"/>
      <w:marLeft w:val="0"/>
      <w:marRight w:val="0"/>
      <w:marTop w:val="0"/>
      <w:marBottom w:val="0"/>
      <w:divBdr>
        <w:top w:val="none" w:sz="0" w:space="0" w:color="auto"/>
        <w:left w:val="none" w:sz="0" w:space="0" w:color="auto"/>
        <w:bottom w:val="none" w:sz="0" w:space="0" w:color="auto"/>
        <w:right w:val="none" w:sz="0" w:space="0" w:color="auto"/>
      </w:divBdr>
      <w:divsChild>
        <w:div w:id="398596147">
          <w:marLeft w:val="0"/>
          <w:marRight w:val="0"/>
          <w:marTop w:val="0"/>
          <w:marBottom w:val="0"/>
          <w:divBdr>
            <w:top w:val="none" w:sz="0" w:space="0" w:color="auto"/>
            <w:left w:val="none" w:sz="0" w:space="0" w:color="auto"/>
            <w:bottom w:val="none" w:sz="0" w:space="0" w:color="auto"/>
            <w:right w:val="none" w:sz="0" w:space="0" w:color="auto"/>
          </w:divBdr>
        </w:div>
        <w:div w:id="15010475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1412</Words>
  <Characters>8053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c:creator>
  <cp:keywords/>
  <dc:description/>
  <cp:lastModifiedBy>win</cp:lastModifiedBy>
  <cp:revision>4</cp:revision>
  <dcterms:created xsi:type="dcterms:W3CDTF">2026-06-28T13:02:00Z</dcterms:created>
  <dcterms:modified xsi:type="dcterms:W3CDTF">2026-06-28T13:06:00Z</dcterms:modified>
</cp:coreProperties>
</file>