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9BD81" w14:textId="77777777" w:rsidR="000D4AAA" w:rsidRPr="00EF19C2" w:rsidRDefault="000D4AAA" w:rsidP="000D4AAA">
      <w:pPr>
        <w:pStyle w:val="Heading1"/>
        <w:rPr>
          <w:rFonts w:ascii="Times New Roman" w:hAnsi="Times New Roman" w:cs="Times New Roman"/>
        </w:rPr>
      </w:pPr>
      <w:r w:rsidRPr="00EF19C2">
        <w:rPr>
          <w:rFonts w:ascii="Times New Roman" w:hAnsi="Times New Roman" w:cs="Times New Roman"/>
        </w:rPr>
        <w:t>Energy transition: How did it all start?</w:t>
      </w:r>
    </w:p>
    <w:p w14:paraId="5FA7D501" w14:textId="77777777" w:rsidR="000D4AAA" w:rsidRPr="00EF19C2" w:rsidRDefault="000D4AAA" w:rsidP="000D4AAA">
      <w:pPr>
        <w:jc w:val="both"/>
        <w:rPr>
          <w:rFonts w:ascii="Times New Roman" w:hAnsi="Times New Roman" w:cs="Times New Roman"/>
        </w:rPr>
      </w:pPr>
    </w:p>
    <w:p w14:paraId="44A36AB8" w14:textId="02011221" w:rsidR="000D4AAA" w:rsidRPr="00EF19C2" w:rsidRDefault="000D4AAA" w:rsidP="000D4AAA">
      <w:pPr>
        <w:jc w:val="both"/>
        <w:rPr>
          <w:rFonts w:ascii="Times New Roman" w:hAnsi="Times New Roman" w:cs="Times New Roman"/>
        </w:rPr>
      </w:pPr>
      <w:r w:rsidRPr="00EF19C2">
        <w:rPr>
          <w:rFonts w:ascii="Times New Roman" w:hAnsi="Times New Roman" w:cs="Times New Roman"/>
        </w:rPr>
        <w:t xml:space="preserve">As we all have heard, </w:t>
      </w:r>
      <w:r w:rsidRPr="00EF19C2">
        <w:rPr>
          <w:rFonts w:ascii="Times New Roman" w:hAnsi="Times New Roman" w:cs="Times New Roman"/>
          <w:i/>
          <w:iCs/>
        </w:rPr>
        <w:t>'</w:t>
      </w:r>
      <w:r w:rsidR="004B0A4C" w:rsidRPr="00EF19C2">
        <w:rPr>
          <w:rFonts w:ascii="Times New Roman" w:hAnsi="Times New Roman" w:cs="Times New Roman"/>
          <w:i/>
          <w:iCs/>
        </w:rPr>
        <w:t>T</w:t>
      </w:r>
      <w:r w:rsidRPr="00EF19C2">
        <w:rPr>
          <w:rFonts w:ascii="Times New Roman" w:hAnsi="Times New Roman" w:cs="Times New Roman"/>
          <w:i/>
          <w:iCs/>
        </w:rPr>
        <w:t>he energy transition'</w:t>
      </w:r>
      <w:r w:rsidRPr="00EF19C2">
        <w:rPr>
          <w:rFonts w:ascii="Times New Roman" w:hAnsi="Times New Roman" w:cs="Times New Roman"/>
        </w:rPr>
        <w:t xml:space="preserve"> is a term that has been circling around everywhere nowadays.  You might have an idea about the reason for energy transition and the issues with climate change. But the actual symbolisation can be quite deeper than the generic front we have.</w:t>
      </w:r>
    </w:p>
    <w:p w14:paraId="4C41E923" w14:textId="2C519D60" w:rsidR="000D4AAA" w:rsidRPr="00EF19C2" w:rsidRDefault="002D0748" w:rsidP="000D4AAA">
      <w:pPr>
        <w:jc w:val="both"/>
        <w:rPr>
          <w:rFonts w:ascii="Times New Roman" w:hAnsi="Times New Roman" w:cs="Times New Roman"/>
        </w:rPr>
      </w:pPr>
      <w:r w:rsidRPr="00EF19C2">
        <w:rPr>
          <w:rFonts w:ascii="Times New Roman" w:hAnsi="Times New Roman" w:cs="Times New Roman"/>
        </w:rPr>
        <w:fldChar w:fldCharType="begin"/>
      </w:r>
      <w:r w:rsidR="005265D9">
        <w:rPr>
          <w:rFonts w:ascii="Times New Roman" w:hAnsi="Times New Roman" w:cs="Times New Roman"/>
        </w:rPr>
        <w:instrText xml:space="preserve"> ADDIN ZOTERO_ITEM CSL_CITATION {"citationID":"l0BMm2y1","properties":{"formattedCitation":"[1]","plainCitation":"[1]","noteIndex":0},"citationItems":[{"id":80,"uris":["http://zotero.org/users/13646356/items/8F5EHN7P"],"itemData":{"id":80,"type":"article-journal","abstract":"Facing global climate change and scarce petroleum supplies, the world must switch to sustainable energy systems. While historical transitions between major energy sources have occurred, most of these shifts lasted over a century or longer and were stimulated by resource scarcity, high labor costs, and technological innovations. The energy transition of the 21st century will need to be more rapid. Unfortunately, little is known about how to accelerate energy transitions. This article reviews past transitions and factors behind them, along with their time frames. Three modern case studies are discussed: Brazil, which shifted from an oil-based transportation system to one based on sugarcane-ethanol (success); France, which shifted from oil-fired electric power to nuclear power (success); and the United States, which attempted to shift from foreign oil to a mix of domestic energy resources (failure). Lessons from these attempts to govern energy transitions are discussed. Several policy instruments to accelerate a transition are identified, though even under ideal circumstances a global energy supply transition will be very slow. Given the need to simultaneously implement programs in countries with different political economies, a greater focus on energy efficiency, promotion of Smart Grids, and possibly a new treaty should yield more timely results.","container-title":"Energy Policy","DOI":"https://doi.org/10.1016/j.enpol.2011.09.009","ISSN":"0301-4215","issue":"11","page":"7422-7431","title":"The coming sustainable energy transition: History, strategies, and outlook","volume":"39","author":[{"family":"Solomon","given":"Barry D."},{"family":"Krishna","given":"Karthik"}],"issued":{"date-parts":[["2011"]]}}}],"schema":"https://github.com/citation-style-language/schema/raw/master/csl-citation.json"} </w:instrText>
      </w:r>
      <w:r w:rsidRPr="00EF19C2">
        <w:rPr>
          <w:rFonts w:ascii="Times New Roman" w:hAnsi="Times New Roman" w:cs="Times New Roman"/>
        </w:rPr>
        <w:fldChar w:fldCharType="separate"/>
      </w:r>
      <w:r w:rsidR="005265D9" w:rsidRPr="005265D9">
        <w:rPr>
          <w:rFonts w:ascii="Times New Roman" w:hAnsi="Times New Roman" w:cs="Times New Roman"/>
        </w:rPr>
        <w:t>[1]</w:t>
      </w:r>
      <w:r w:rsidRPr="00EF19C2">
        <w:rPr>
          <w:rFonts w:ascii="Times New Roman" w:hAnsi="Times New Roman" w:cs="Times New Roman"/>
        </w:rPr>
        <w:fldChar w:fldCharType="end"/>
      </w:r>
      <w:r w:rsidR="00E64C84">
        <w:rPr>
          <w:rFonts w:ascii="Times New Roman" w:hAnsi="Times New Roman" w:cs="Times New Roman"/>
        </w:rPr>
        <w:t xml:space="preserve"> </w:t>
      </w:r>
      <w:r w:rsidR="000D4AAA" w:rsidRPr="00EF19C2">
        <w:rPr>
          <w:rFonts w:ascii="Times New Roman" w:hAnsi="Times New Roman" w:cs="Times New Roman"/>
        </w:rPr>
        <w:t>According to the surveys done in the late 20th century, it is noted that the access to modern fuels is more of a problem along with the fuel prices in large places of Asia and Africa, especially while considering the consumers in urban areas, which makes them lean more towards biomass fuels than the conventional or modern carbon-based fuels. During that period, in Sri Lanka, the ratio of kerosene to firewood prices rose from 1.8:1 to 5:1. The fraction of urban households that used kerosene fell from 31% to 14%; meanwhile, the firewood usage increased from 58% to 65%.</w:t>
      </w:r>
    </w:p>
    <w:p w14:paraId="1799CAD2" w14:textId="5EC9FCFC" w:rsidR="000D4AAA" w:rsidRPr="00EF19C2" w:rsidRDefault="000D4AAA" w:rsidP="000D4AAA">
      <w:pPr>
        <w:jc w:val="both"/>
        <w:rPr>
          <w:rFonts w:ascii="Times New Roman" w:hAnsi="Times New Roman" w:cs="Times New Roman"/>
        </w:rPr>
      </w:pPr>
      <w:r w:rsidRPr="00EF19C2">
        <w:rPr>
          <w:rFonts w:ascii="Times New Roman" w:hAnsi="Times New Roman" w:cs="Times New Roman"/>
        </w:rPr>
        <w:t xml:space="preserve">The governmental policies subsidise fuels like kerosene or butane, aiming </w:t>
      </w:r>
      <w:r w:rsidR="00995AF0" w:rsidRPr="00EF19C2">
        <w:rPr>
          <w:rFonts w:ascii="Times New Roman" w:hAnsi="Times New Roman" w:cs="Times New Roman"/>
        </w:rPr>
        <w:t>to increase</w:t>
      </w:r>
      <w:r w:rsidRPr="00EF19C2">
        <w:rPr>
          <w:rFonts w:ascii="Times New Roman" w:hAnsi="Times New Roman" w:cs="Times New Roman"/>
        </w:rPr>
        <w:t xml:space="preserve"> the demand. But, rather than that, the demand for the biomass fuels was increasing since the subsidies were mainly targeted at the middle-income households that could have used these fuels regardless of the subsidies, which implies that the low-income households that use the biomass fuels primarily are less benefited from the schemes.</w:t>
      </w:r>
    </w:p>
    <w:p w14:paraId="02068B5F" w14:textId="77777777" w:rsidR="000D4AAA" w:rsidRPr="00EF19C2" w:rsidRDefault="000D4AAA" w:rsidP="000D4AAA">
      <w:pPr>
        <w:jc w:val="both"/>
        <w:rPr>
          <w:rFonts w:ascii="Times New Roman" w:hAnsi="Times New Roman" w:cs="Times New Roman"/>
        </w:rPr>
      </w:pPr>
      <w:r w:rsidRPr="00EF19C2">
        <w:rPr>
          <w:rFonts w:ascii="Times New Roman" w:hAnsi="Times New Roman" w:cs="Times New Roman"/>
        </w:rPr>
        <w:t>It is suggested that improving transport and storage facilities, along with supply and financial support, would be helpful for the energy transition towards modern fuels.</w:t>
      </w:r>
    </w:p>
    <w:p w14:paraId="501D6E03" w14:textId="5AA1F2B1" w:rsidR="000D4AAA" w:rsidRPr="00EF19C2" w:rsidRDefault="000D4AAA" w:rsidP="000D4AAA">
      <w:pPr>
        <w:jc w:val="both"/>
        <w:rPr>
          <w:rFonts w:ascii="Times New Roman" w:hAnsi="Times New Roman" w:cs="Times New Roman"/>
          <w:b/>
        </w:rPr>
      </w:pPr>
      <w:r w:rsidRPr="00EF19C2">
        <w:rPr>
          <w:rFonts w:ascii="Times New Roman" w:hAnsi="Times New Roman" w:cs="Times New Roman"/>
          <w:b/>
        </w:rPr>
        <w:t>The first energy transition</w:t>
      </w:r>
      <w:r w:rsidRPr="00EF19C2">
        <w:rPr>
          <w:rFonts w:ascii="Times New Roman" w:hAnsi="Times New Roman" w:cs="Times New Roman"/>
          <w:b/>
        </w:rPr>
        <w:fldChar w:fldCharType="begin"/>
      </w:r>
      <w:r w:rsidR="005265D9">
        <w:rPr>
          <w:rFonts w:ascii="Times New Roman" w:hAnsi="Times New Roman" w:cs="Times New Roman"/>
          <w:b/>
        </w:rPr>
        <w:instrText xml:space="preserve"> ADDIN ZOTERO_ITEM CSL_CITATION {"citationID":"h6jUOdwn","properties":{"formattedCitation":"[2]","plainCitation":"[2]","noteIndex":0},"citationItems":[{"id":"8X0HNRT6/MoahNw1B","uris":["http://zotero.org/users/13646356/items/U6HG4C7B"],"itemData":{"id":518,"type":"article-journal","abstract":"The paper considers the substitution of traditional biomass fuels by modern energy sources in the household sector of developing countries. It demonstrates that this process is strongly dependent on urban size and, within cities, on household income, since the main constraints on the transition are poor access to modern fuels and the high cost of appliances for using them. Relative fuel prices appear to be of lesser importance. The paper concludes with a review of the reasons why policymakers might wish to influence the pace of the transition and the measures which, from case history experience, have proved to be effective or to be expensive failures.","container-title":"Energy Policy","DOI":"https://doi.org/10.1016/0301-4215(92)90105-B","ISSN":"0301-4215","issue":"2","page":"116-123","title":"The energy transition","URL":"https://www.sciencedirect.com/science/article/pii/030142159290105B","volume":"20","author":[{"family":"Leach","given":"Gerald"}],"issued":{"date-parts":[["1992"]]}}}],"schema":"https://github.com/citation-style-language/schema/raw/master/csl-citation.json"} </w:instrText>
      </w:r>
      <w:r w:rsidRPr="00EF19C2">
        <w:rPr>
          <w:rFonts w:ascii="Times New Roman" w:hAnsi="Times New Roman" w:cs="Times New Roman"/>
          <w:b/>
        </w:rPr>
        <w:fldChar w:fldCharType="separate"/>
      </w:r>
      <w:r w:rsidR="005265D9" w:rsidRPr="005265D9">
        <w:rPr>
          <w:rFonts w:ascii="Times New Roman" w:hAnsi="Times New Roman" w:cs="Times New Roman"/>
        </w:rPr>
        <w:t>[2]</w:t>
      </w:r>
      <w:r w:rsidRPr="00EF19C2">
        <w:rPr>
          <w:rFonts w:ascii="Times New Roman" w:hAnsi="Times New Roman" w:cs="Times New Roman"/>
          <w:b/>
        </w:rPr>
        <w:fldChar w:fldCharType="end"/>
      </w:r>
    </w:p>
    <w:p w14:paraId="14125345" w14:textId="3BC53A06" w:rsidR="000D4AAA" w:rsidRPr="00EF19C2" w:rsidRDefault="000D4AAA" w:rsidP="000D4AAA">
      <w:pPr>
        <w:jc w:val="both"/>
        <w:rPr>
          <w:rFonts w:ascii="Times New Roman" w:hAnsi="Times New Roman" w:cs="Times New Roman"/>
        </w:rPr>
      </w:pPr>
      <w:r w:rsidRPr="00EF19C2">
        <w:rPr>
          <w:rFonts w:ascii="Times New Roman" w:hAnsi="Times New Roman" w:cs="Times New Roman"/>
        </w:rPr>
        <w:t xml:space="preserve">The </w:t>
      </w:r>
      <w:r w:rsidR="005E4DDD">
        <w:rPr>
          <w:rFonts w:ascii="Times New Roman" w:hAnsi="Times New Roman" w:cs="Times New Roman"/>
        </w:rPr>
        <w:t xml:space="preserve">foremost </w:t>
      </w:r>
      <w:r w:rsidRPr="00EF19C2">
        <w:rPr>
          <w:rFonts w:ascii="Times New Roman" w:hAnsi="Times New Roman" w:cs="Times New Roman"/>
        </w:rPr>
        <w:t>energy transition from wood to fossil fuels was driven by the urbanisation of the British in the 1700s. Despite the lack of accessibility in the rural areas, the transition was in full swing in the 19th century, in general, thanks to the Industrial Revolution, which promoted the usage of kinetic energies like water and wind as the main sources of energy.</w:t>
      </w:r>
    </w:p>
    <w:p w14:paraId="1E1130F2" w14:textId="77777777" w:rsidR="000D4AAA" w:rsidRPr="00EF19C2" w:rsidRDefault="000D4AAA" w:rsidP="000D4AAA">
      <w:pPr>
        <w:jc w:val="both"/>
        <w:rPr>
          <w:rFonts w:ascii="Times New Roman" w:hAnsi="Times New Roman" w:cs="Times New Roman"/>
        </w:rPr>
      </w:pPr>
      <w:r w:rsidRPr="00EF19C2">
        <w:rPr>
          <w:rFonts w:ascii="Times New Roman" w:hAnsi="Times New Roman" w:cs="Times New Roman"/>
        </w:rPr>
        <w:t xml:space="preserve">The growth of the diesel engines and oil industries further reinforced the transition towards fossil fuels due to the difficulty in handling and the scarcity of firewood. </w:t>
      </w:r>
    </w:p>
    <w:p w14:paraId="148F7435" w14:textId="77777777" w:rsidR="000D4AAA" w:rsidRPr="00EF19C2" w:rsidRDefault="000D4AAA" w:rsidP="000D4AAA">
      <w:pPr>
        <w:jc w:val="both"/>
        <w:rPr>
          <w:rFonts w:ascii="Times New Roman" w:hAnsi="Times New Roman" w:cs="Times New Roman"/>
        </w:rPr>
      </w:pPr>
      <w:r w:rsidRPr="00EF19C2">
        <w:rPr>
          <w:rFonts w:ascii="Times New Roman" w:hAnsi="Times New Roman" w:cs="Times New Roman"/>
        </w:rPr>
        <w:t>In 1925, Brazil has utilised bioethanol as an alternative transportation fuel. The produced bioethanol from biological sources like sugarcane and corn and blended it with gasoline. During World War II, the prices of petroleum had been decreased drastically, which shifted the attention towards bioethanol until the oil crisis surged in the 1970s.</w:t>
      </w:r>
    </w:p>
    <w:p w14:paraId="5E69C2E2" w14:textId="77777777" w:rsidR="000D4AAA" w:rsidRPr="00EF19C2" w:rsidRDefault="000D4AAA" w:rsidP="000D4AAA">
      <w:pPr>
        <w:jc w:val="both"/>
        <w:rPr>
          <w:rFonts w:ascii="Times New Roman" w:hAnsi="Times New Roman" w:cs="Times New Roman"/>
        </w:rPr>
      </w:pPr>
      <w:r w:rsidRPr="00EF19C2">
        <w:rPr>
          <w:rFonts w:ascii="Times New Roman" w:hAnsi="Times New Roman" w:cs="Times New Roman"/>
        </w:rPr>
        <w:t xml:space="preserve">In the last three decades of the 20th century, France began displacing their dependency on oil, which was imported from the Middle Eastern countries. Almost over 70% of the energy supply was through oil in France during that time. There were 58 nuclear reactors built during the last few decades of the 20th century, and it reduced the demand for oil from 5 million tonnes of oil equivalent (MToe) to 100 MToe by 2008. Now, after the United States, France is the second-largest producer of nuclear power in the world. Although the total consumption of nuclear power in France (43%) surpasses that of the United States (8.5%), which makes France highly independent from the usage of fossil fuel. </w:t>
      </w:r>
    </w:p>
    <w:p w14:paraId="6125F33A" w14:textId="708F8599" w:rsidR="00017D0A" w:rsidRPr="00EF19C2" w:rsidRDefault="009C7480" w:rsidP="000D4AAA">
      <w:pPr>
        <w:jc w:val="both"/>
        <w:rPr>
          <w:rFonts w:ascii="Times New Roman" w:hAnsi="Times New Roman" w:cs="Times New Roman"/>
          <w:b/>
          <w:bCs/>
        </w:rPr>
      </w:pPr>
      <w:r w:rsidRPr="00EF19C2">
        <w:rPr>
          <w:rFonts w:ascii="Times New Roman" w:hAnsi="Times New Roman" w:cs="Times New Roman"/>
          <w:b/>
          <w:bCs/>
        </w:rPr>
        <w:t xml:space="preserve">From Coal to </w:t>
      </w:r>
      <w:r w:rsidR="00F16727" w:rsidRPr="00EF19C2">
        <w:rPr>
          <w:rFonts w:ascii="Times New Roman" w:hAnsi="Times New Roman" w:cs="Times New Roman"/>
          <w:b/>
          <w:bCs/>
        </w:rPr>
        <w:t>Renewables</w:t>
      </w:r>
      <w:r w:rsidR="009D2E45" w:rsidRPr="00EF19C2">
        <w:rPr>
          <w:rFonts w:ascii="Times New Roman" w:hAnsi="Times New Roman" w:cs="Times New Roman"/>
          <w:b/>
          <w:bCs/>
        </w:rPr>
        <w:t xml:space="preserve"> </w:t>
      </w:r>
    </w:p>
    <w:p w14:paraId="62AF8543" w14:textId="388C9453" w:rsidR="00A458BA" w:rsidRPr="00EF19C2" w:rsidRDefault="00A458BA" w:rsidP="00A458BA">
      <w:pPr>
        <w:jc w:val="both"/>
        <w:rPr>
          <w:rFonts w:ascii="Times New Roman" w:hAnsi="Times New Roman" w:cs="Times New Roman"/>
        </w:rPr>
      </w:pPr>
      <w:r w:rsidRPr="00EF19C2">
        <w:rPr>
          <w:rFonts w:ascii="Times New Roman" w:hAnsi="Times New Roman" w:cs="Times New Roman"/>
        </w:rPr>
        <w:t xml:space="preserve">According to </w:t>
      </w:r>
      <w:hyperlink r:id="rId5" w:history="1">
        <w:r w:rsidRPr="00EF19C2">
          <w:rPr>
            <w:rStyle w:val="Hyperlink"/>
            <w:rFonts w:ascii="Times New Roman" w:hAnsi="Times New Roman" w:cs="Times New Roman"/>
            <w:i/>
            <w:iCs/>
          </w:rPr>
          <w:t>British Ecotricity</w:t>
        </w:r>
      </w:hyperlink>
      <w:r w:rsidRPr="00EF19C2">
        <w:rPr>
          <w:rFonts w:ascii="Times New Roman" w:hAnsi="Times New Roman" w:cs="Times New Roman"/>
        </w:rPr>
        <w:t xml:space="preserve"> estimates, </w:t>
      </w:r>
      <w:r w:rsidR="00761F0F" w:rsidRPr="00EF19C2">
        <w:rPr>
          <w:rFonts w:ascii="Times New Roman" w:hAnsi="Times New Roman" w:cs="Times New Roman"/>
        </w:rPr>
        <w:t>“</w:t>
      </w:r>
      <w:r w:rsidRPr="00EF19C2">
        <w:rPr>
          <w:rFonts w:ascii="Times New Roman" w:hAnsi="Times New Roman" w:cs="Times New Roman"/>
        </w:rPr>
        <w:t>The world consumes 11</w:t>
      </w:r>
      <w:r w:rsidR="00761F0F" w:rsidRPr="00EF19C2">
        <w:rPr>
          <w:rFonts w:ascii="Times New Roman" w:hAnsi="Times New Roman" w:cs="Times New Roman"/>
        </w:rPr>
        <w:t xml:space="preserve"> </w:t>
      </w:r>
      <w:r w:rsidR="00B662DD" w:rsidRPr="00EF19C2">
        <w:rPr>
          <w:rFonts w:ascii="Times New Roman" w:hAnsi="Times New Roman" w:cs="Times New Roman"/>
        </w:rPr>
        <w:t>billion</w:t>
      </w:r>
      <w:r w:rsidRPr="00EF19C2">
        <w:rPr>
          <w:rFonts w:ascii="Times New Roman" w:hAnsi="Times New Roman" w:cs="Times New Roman"/>
        </w:rPr>
        <w:t xml:space="preserve"> Tonnes of Oil Equivalent</w:t>
      </w:r>
      <w:r w:rsidR="00761F0F" w:rsidRPr="00EF19C2">
        <w:rPr>
          <w:rFonts w:ascii="Times New Roman" w:hAnsi="Times New Roman" w:cs="Times New Roman"/>
        </w:rPr>
        <w:t xml:space="preserve"> </w:t>
      </w:r>
      <w:r w:rsidRPr="00EF19C2">
        <w:rPr>
          <w:rFonts w:ascii="Times New Roman" w:hAnsi="Times New Roman" w:cs="Times New Roman"/>
        </w:rPr>
        <w:t>fossil fuels each year. Crude oil stocks are diminishing at a rate of more than 4 billion tonnes per year, which means our known oil reserves will run out in just over 53 years. If we raise gas production to meet the energy gap left by oil, our known gas reserves will deplete within 52 years. When we increase output to compensate for depleting oil and gas reserves, our known coal supplies could disappear in 150 years.</w:t>
      </w:r>
      <w:r w:rsidR="00761F0F" w:rsidRPr="00EF19C2">
        <w:rPr>
          <w:rFonts w:ascii="Times New Roman" w:hAnsi="Times New Roman" w:cs="Times New Roman"/>
        </w:rPr>
        <w:t>”</w:t>
      </w:r>
      <w:r w:rsidR="001D50B3">
        <w:rPr>
          <w:rFonts w:ascii="Times New Roman" w:hAnsi="Times New Roman" w:cs="Times New Roman"/>
        </w:rPr>
        <w:fldChar w:fldCharType="begin"/>
      </w:r>
      <w:r w:rsidR="005265D9">
        <w:rPr>
          <w:rFonts w:ascii="Times New Roman" w:hAnsi="Times New Roman" w:cs="Times New Roman"/>
        </w:rPr>
        <w:instrText xml:space="preserve"> ADDIN ZOTERO_ITEM CSL_CITATION {"citationID":"hYLkPP1o","properties":{"formattedCitation":"[3]","plainCitation":"[3]","noteIndex":0},"citationItems":[{"id":571,"uris":["http://zotero.org/users/13646356/items/UFTZYFQ2"],"itemData":{"id":571,"type":"article-journal","abstract":"Abstract We present the role of heat and electricity storage systems on the rapid rise of renewable energy resources and the steady fall of fossil fuels. The upsurge in renewable resources and slump in fossil fuel consumptions is attributed to sustainable energy systems, energy transition, climate change, and clean energy initiatives. The fast growth of renewables brings new design and operational challenges to transition towards 100% renewable energy goal. Energy storage systems can help ride-through energy transition from hydrocarbon fuels to renewable sources. Nuclear fusion and artificial photosynthesis are the ultimate Holy Grails for permanent clean energy solutions. Plants harvest light and store it in chemical energy to regulate the food supply chain that may be a guideline for an energy transition from fossil fuels to renewables. Heat and electricity storage devices can account for the periodic nature of solar and wind energy sources. Solar thermal systems for water and space heating are also a viable solution for subzero temperature areas. This study presents the transition of world's energy prospect from fossil fuels to renewables and new advances in energy storage systems.","container-title":"Energy Storage","DOI":"https://doi.org/10.1002/est2.135","issue":"1","note":"_eprint: https://onlinelibrary.wiley.com/doi/pdf/10.1002/est2.135","page":"e135","title":"Role of energy storage systems in energy transition from fossil fuels to renewables","volume":"3","author":[{"family":"Kalair","given":"Anam"},{"family":"Abas","given":"Naeem"},{"family":"Saleem","given":"Muhammad Shoaib"},{"family":"Kalair","given":"Ali Raza"},{"family":"Khan","given":"Nasrullah"}],"issued":{"date-parts":[["2021"]]}}}],"schema":"https://github.com/citation-style-language/schema/raw/master/csl-citation.json"} </w:instrText>
      </w:r>
      <w:r w:rsidR="001D50B3">
        <w:rPr>
          <w:rFonts w:ascii="Times New Roman" w:hAnsi="Times New Roman" w:cs="Times New Roman"/>
        </w:rPr>
        <w:fldChar w:fldCharType="separate"/>
      </w:r>
      <w:r w:rsidR="005265D9" w:rsidRPr="005265D9">
        <w:rPr>
          <w:rFonts w:ascii="Times New Roman" w:hAnsi="Times New Roman" w:cs="Times New Roman"/>
        </w:rPr>
        <w:t>[3]</w:t>
      </w:r>
      <w:r w:rsidR="001D50B3">
        <w:rPr>
          <w:rFonts w:ascii="Times New Roman" w:hAnsi="Times New Roman" w:cs="Times New Roman"/>
        </w:rPr>
        <w:fldChar w:fldCharType="end"/>
      </w:r>
      <w:r w:rsidR="001D50B3" w:rsidRPr="00EF19C2">
        <w:rPr>
          <w:rFonts w:ascii="Times New Roman" w:hAnsi="Times New Roman" w:cs="Times New Roman"/>
        </w:rPr>
        <w:t xml:space="preserve"> </w:t>
      </w:r>
    </w:p>
    <w:p w14:paraId="5485CAAF" w14:textId="77777777" w:rsidR="00272A27" w:rsidRPr="00EF19C2" w:rsidRDefault="00272A27" w:rsidP="00272A27">
      <w:pPr>
        <w:jc w:val="both"/>
        <w:rPr>
          <w:rFonts w:ascii="Times New Roman" w:hAnsi="Times New Roman" w:cs="Times New Roman"/>
          <w:b/>
          <w:bCs/>
        </w:rPr>
      </w:pPr>
      <w:r w:rsidRPr="00EF19C2">
        <w:rPr>
          <w:rFonts w:ascii="Times New Roman" w:hAnsi="Times New Roman" w:cs="Times New Roman"/>
          <w:b/>
          <w:bCs/>
        </w:rPr>
        <w:lastRenderedPageBreak/>
        <w:t>Intergovernmental Panel on Climate Change (IPCC) 1988</w:t>
      </w:r>
    </w:p>
    <w:p w14:paraId="762D6DA7" w14:textId="2464671F" w:rsidR="00272A27" w:rsidRPr="00EF19C2" w:rsidRDefault="00FC2396" w:rsidP="002647BC">
      <w:pPr>
        <w:jc w:val="both"/>
        <w:rPr>
          <w:rFonts w:ascii="Times New Roman" w:hAnsi="Times New Roman" w:cs="Times New Roman"/>
          <w:i/>
          <w:iCs/>
        </w:rPr>
      </w:pPr>
      <w:r w:rsidRPr="00EF19C2">
        <w:rPr>
          <w:rFonts w:ascii="Times New Roman" w:hAnsi="Times New Roman" w:cs="Times New Roman"/>
        </w:rPr>
        <w:t xml:space="preserve">The </w:t>
      </w:r>
      <w:hyperlink r:id="rId6" w:history="1">
        <w:r w:rsidRPr="00EF19C2">
          <w:rPr>
            <w:rStyle w:val="Hyperlink"/>
            <w:rFonts w:ascii="Times New Roman" w:hAnsi="Times New Roman" w:cs="Times New Roman"/>
          </w:rPr>
          <w:t>IPCC</w:t>
        </w:r>
      </w:hyperlink>
      <w:r w:rsidRPr="00EF19C2">
        <w:rPr>
          <w:rFonts w:ascii="Times New Roman" w:hAnsi="Times New Roman" w:cs="Times New Roman"/>
        </w:rPr>
        <w:t xml:space="preserve"> was established in 1988</w:t>
      </w:r>
      <w:r w:rsidR="005B69C1" w:rsidRPr="00EF19C2">
        <w:rPr>
          <w:rFonts w:ascii="Times New Roman" w:hAnsi="Times New Roman" w:cs="Times New Roman"/>
        </w:rPr>
        <w:t>, by United Nations Environment Programme (UNEP) and the World mete</w:t>
      </w:r>
      <w:r w:rsidR="00685146" w:rsidRPr="00EF19C2">
        <w:rPr>
          <w:rFonts w:ascii="Times New Roman" w:hAnsi="Times New Roman" w:cs="Times New Roman"/>
        </w:rPr>
        <w:t xml:space="preserve">orological Environment Programme (UNEP), endorsed by UN General Assembly, to focus on the </w:t>
      </w:r>
      <w:r w:rsidR="00A97007" w:rsidRPr="00EF19C2">
        <w:rPr>
          <w:rFonts w:ascii="Times New Roman" w:hAnsi="Times New Roman" w:cs="Times New Roman"/>
        </w:rPr>
        <w:t xml:space="preserve">suggestions and the state of the climate change in the world. Since 1988, the IPCC has </w:t>
      </w:r>
      <w:r w:rsidR="001C298A" w:rsidRPr="00EF19C2">
        <w:rPr>
          <w:rFonts w:ascii="Times New Roman" w:hAnsi="Times New Roman" w:cs="Times New Roman"/>
        </w:rPr>
        <w:t>distributed</w:t>
      </w:r>
      <w:r w:rsidR="005B69C1" w:rsidRPr="00EF19C2">
        <w:rPr>
          <w:rFonts w:ascii="Times New Roman" w:hAnsi="Times New Roman" w:cs="Times New Roman"/>
        </w:rPr>
        <w:t xml:space="preserve"> </w:t>
      </w:r>
      <w:r w:rsidR="001C298A" w:rsidRPr="00EF19C2">
        <w:rPr>
          <w:rFonts w:ascii="Times New Roman" w:hAnsi="Times New Roman" w:cs="Times New Roman"/>
        </w:rPr>
        <w:t>six assessment reports about the climate change</w:t>
      </w:r>
      <w:r w:rsidR="00E945C8" w:rsidRPr="00EF19C2">
        <w:rPr>
          <w:rFonts w:ascii="Times New Roman" w:hAnsi="Times New Roman" w:cs="Times New Roman"/>
        </w:rPr>
        <w:t>, along with numerous</w:t>
      </w:r>
      <w:r w:rsidR="004F7A2C" w:rsidRPr="00EF19C2">
        <w:rPr>
          <w:rFonts w:ascii="Times New Roman" w:hAnsi="Times New Roman" w:cs="Times New Roman"/>
        </w:rPr>
        <w:t xml:space="preserve"> comprehensive</w:t>
      </w:r>
      <w:r w:rsidR="00E945C8" w:rsidRPr="00EF19C2">
        <w:rPr>
          <w:rFonts w:ascii="Times New Roman" w:hAnsi="Times New Roman" w:cs="Times New Roman"/>
        </w:rPr>
        <w:t xml:space="preserve"> reports on methodology and technical papers</w:t>
      </w:r>
      <w:r w:rsidR="009711A2">
        <w:rPr>
          <w:rFonts w:ascii="Times New Roman" w:hAnsi="Times New Roman" w:cs="Times New Roman"/>
        </w:rPr>
        <w:t>.</w:t>
      </w:r>
      <w:r w:rsidR="009711A2">
        <w:rPr>
          <w:rFonts w:ascii="Times New Roman" w:hAnsi="Times New Roman" w:cs="Times New Roman"/>
        </w:rPr>
        <w:fldChar w:fldCharType="begin"/>
      </w:r>
      <w:r w:rsidR="005265D9">
        <w:rPr>
          <w:rFonts w:ascii="Times New Roman" w:hAnsi="Times New Roman" w:cs="Times New Roman"/>
        </w:rPr>
        <w:instrText xml:space="preserve"> ADDIN ZOTERO_ITEM CSL_CITATION {"citationID":"6eXBHXM6","properties":{"formattedCitation":"[4]","plainCitation":"[4]","noteIndex":0},"citationItems":[{"id":573,"uris":["http://zotero.org/users/13646356/items/VBY2XQWM"],"itemData":{"id":573,"type":"dataset","publisher":"Intergovernmental Panel on Climate Change","title":"IPCC Factsheet- What is the IPCC?","URL":"https://www.ipcc.ch/site/assets/uploads/2021/07/AR6_FS_What_is_IPCC.pdf","issued":{"date-parts":[["2021",7]]}}}],"schema":"https://github.com/citation-style-language/schema/raw/master/csl-citation.json"} </w:instrText>
      </w:r>
      <w:r w:rsidR="009711A2">
        <w:rPr>
          <w:rFonts w:ascii="Times New Roman" w:hAnsi="Times New Roman" w:cs="Times New Roman"/>
        </w:rPr>
        <w:fldChar w:fldCharType="separate"/>
      </w:r>
      <w:r w:rsidR="005265D9" w:rsidRPr="005265D9">
        <w:rPr>
          <w:rFonts w:ascii="Times New Roman" w:hAnsi="Times New Roman" w:cs="Times New Roman"/>
        </w:rPr>
        <w:t>[4]</w:t>
      </w:r>
      <w:r w:rsidR="009711A2">
        <w:rPr>
          <w:rFonts w:ascii="Times New Roman" w:hAnsi="Times New Roman" w:cs="Times New Roman"/>
        </w:rPr>
        <w:fldChar w:fldCharType="end"/>
      </w:r>
    </w:p>
    <w:p w14:paraId="60A8B5A7" w14:textId="23D9FD12" w:rsidR="000E0FFF" w:rsidRPr="00EF19C2" w:rsidRDefault="00A22589" w:rsidP="002647BC">
      <w:pPr>
        <w:jc w:val="both"/>
        <w:rPr>
          <w:rFonts w:ascii="Times New Roman" w:hAnsi="Times New Roman" w:cs="Times New Roman"/>
          <w:i/>
          <w:iCs/>
        </w:rPr>
      </w:pPr>
      <w:r w:rsidRPr="00EF19C2">
        <w:rPr>
          <w:rFonts w:ascii="Times New Roman" w:hAnsi="Times New Roman" w:cs="Times New Roman"/>
        </w:rPr>
        <w:t xml:space="preserve">The assessment reports were </w:t>
      </w:r>
      <w:r w:rsidR="007F295C" w:rsidRPr="00EF19C2">
        <w:rPr>
          <w:rFonts w:ascii="Times New Roman" w:hAnsi="Times New Roman" w:cs="Times New Roman"/>
        </w:rPr>
        <w:t xml:space="preserve">illuminative and </w:t>
      </w:r>
      <w:r w:rsidR="006E2FBF" w:rsidRPr="00EF19C2">
        <w:rPr>
          <w:rFonts w:ascii="Times New Roman" w:hAnsi="Times New Roman" w:cs="Times New Roman"/>
        </w:rPr>
        <w:t>paved a great pathway for the improvements and awareness of the climate change</w:t>
      </w:r>
      <w:r w:rsidR="00CF1B35" w:rsidRPr="00EF19C2">
        <w:rPr>
          <w:rFonts w:ascii="Times New Roman" w:hAnsi="Times New Roman" w:cs="Times New Roman"/>
        </w:rPr>
        <w:t xml:space="preserve">, among the countries. It also emphasized the significance </w:t>
      </w:r>
      <w:r w:rsidR="00BD5072" w:rsidRPr="00EF19C2">
        <w:rPr>
          <w:rFonts w:ascii="Times New Roman" w:hAnsi="Times New Roman" w:cs="Times New Roman"/>
        </w:rPr>
        <w:t xml:space="preserve">of the </w:t>
      </w:r>
      <w:r w:rsidR="00E02F53" w:rsidRPr="00EF19C2">
        <w:rPr>
          <w:rFonts w:ascii="Times New Roman" w:hAnsi="Times New Roman" w:cs="Times New Roman"/>
        </w:rPr>
        <w:t xml:space="preserve">global warming </w:t>
      </w:r>
      <w:r w:rsidR="00134342" w:rsidRPr="00EF19C2">
        <w:rPr>
          <w:rFonts w:ascii="Times New Roman" w:hAnsi="Times New Roman" w:cs="Times New Roman"/>
        </w:rPr>
        <w:t xml:space="preserve">and the need for the </w:t>
      </w:r>
      <w:r w:rsidR="00E02F53" w:rsidRPr="00EF19C2">
        <w:rPr>
          <w:rFonts w:ascii="Times New Roman" w:hAnsi="Times New Roman" w:cs="Times New Roman"/>
        </w:rPr>
        <w:t>energy transition</w:t>
      </w:r>
      <w:r w:rsidR="002E708E" w:rsidRPr="00EF19C2">
        <w:rPr>
          <w:rFonts w:ascii="Times New Roman" w:hAnsi="Times New Roman" w:cs="Times New Roman"/>
        </w:rPr>
        <w:t>.</w:t>
      </w:r>
    </w:p>
    <w:p w14:paraId="7CD02E15" w14:textId="47D4959B" w:rsidR="002647BC" w:rsidRPr="00EF19C2" w:rsidRDefault="002647BC" w:rsidP="002647BC">
      <w:pPr>
        <w:jc w:val="both"/>
        <w:rPr>
          <w:rFonts w:ascii="Times New Roman" w:hAnsi="Times New Roman" w:cs="Times New Roman"/>
          <w:b/>
          <w:bCs/>
        </w:rPr>
      </w:pPr>
      <w:r w:rsidRPr="00EF19C2">
        <w:rPr>
          <w:rFonts w:ascii="Times New Roman" w:hAnsi="Times New Roman" w:cs="Times New Roman"/>
          <w:b/>
          <w:bCs/>
        </w:rPr>
        <w:t>Kyoto Protocol 1997</w:t>
      </w:r>
    </w:p>
    <w:p w14:paraId="575B054A" w14:textId="4CB22F51" w:rsidR="00437F38" w:rsidRPr="00EF19C2" w:rsidRDefault="003804ED" w:rsidP="00A458BA">
      <w:pPr>
        <w:jc w:val="both"/>
        <w:rPr>
          <w:rFonts w:ascii="Times New Roman" w:hAnsi="Times New Roman" w:cs="Times New Roman"/>
        </w:rPr>
      </w:pPr>
      <w:r w:rsidRPr="00EF19C2">
        <w:rPr>
          <w:rFonts w:ascii="Times New Roman" w:hAnsi="Times New Roman" w:cs="Times New Roman"/>
        </w:rPr>
        <w:t xml:space="preserve">The </w:t>
      </w:r>
      <w:r w:rsidR="00175E5A" w:rsidRPr="00EF19C2">
        <w:rPr>
          <w:rFonts w:ascii="Times New Roman" w:hAnsi="Times New Roman" w:cs="Times New Roman"/>
        </w:rPr>
        <w:t xml:space="preserve">apprehension towards the climate change </w:t>
      </w:r>
      <w:r w:rsidR="005B4AB5" w:rsidRPr="00EF19C2">
        <w:rPr>
          <w:rFonts w:ascii="Times New Roman" w:hAnsi="Times New Roman" w:cs="Times New Roman"/>
        </w:rPr>
        <w:t>directed the world towards Kyoto Protocol in 1997</w:t>
      </w:r>
      <w:r w:rsidR="00DF5DD4" w:rsidRPr="00EF19C2">
        <w:rPr>
          <w:rFonts w:ascii="Times New Roman" w:hAnsi="Times New Roman" w:cs="Times New Roman"/>
        </w:rPr>
        <w:t xml:space="preserve">, which has the limits and emission control </w:t>
      </w:r>
      <w:r w:rsidR="00F4508E" w:rsidRPr="00EF19C2">
        <w:rPr>
          <w:rFonts w:ascii="Times New Roman" w:hAnsi="Times New Roman" w:cs="Times New Roman"/>
        </w:rPr>
        <w:t>target</w:t>
      </w:r>
      <w:r w:rsidR="00DF5DD4" w:rsidRPr="00EF19C2">
        <w:rPr>
          <w:rFonts w:ascii="Times New Roman" w:hAnsi="Times New Roman" w:cs="Times New Roman"/>
        </w:rPr>
        <w:t>s</w:t>
      </w:r>
      <w:r w:rsidR="00F4508E" w:rsidRPr="00EF19C2">
        <w:rPr>
          <w:rFonts w:ascii="Times New Roman" w:hAnsi="Times New Roman" w:cs="Times New Roman"/>
        </w:rPr>
        <w:t xml:space="preserve"> for technologically advanced countries</w:t>
      </w:r>
      <w:r w:rsidR="00DF5DD4" w:rsidRPr="00EF19C2">
        <w:rPr>
          <w:rFonts w:ascii="Times New Roman" w:hAnsi="Times New Roman" w:cs="Times New Roman"/>
        </w:rPr>
        <w:t xml:space="preserve"> that </w:t>
      </w:r>
      <w:r w:rsidR="00326DAE" w:rsidRPr="00EF19C2">
        <w:rPr>
          <w:rFonts w:ascii="Times New Roman" w:hAnsi="Times New Roman" w:cs="Times New Roman"/>
        </w:rPr>
        <w:t>must</w:t>
      </w:r>
      <w:r w:rsidR="00DF5DD4" w:rsidRPr="00EF19C2">
        <w:rPr>
          <w:rFonts w:ascii="Times New Roman" w:hAnsi="Times New Roman" w:cs="Times New Roman"/>
        </w:rPr>
        <w:t xml:space="preserve"> be achieved by the end of </w:t>
      </w:r>
      <w:r w:rsidR="009C02C5" w:rsidRPr="00EF19C2">
        <w:rPr>
          <w:rFonts w:ascii="Times New Roman" w:hAnsi="Times New Roman" w:cs="Times New Roman"/>
        </w:rPr>
        <w:t>2012</w:t>
      </w:r>
      <w:r w:rsidR="003C6FAE">
        <w:rPr>
          <w:rFonts w:ascii="Times New Roman" w:hAnsi="Times New Roman" w:cs="Times New Roman"/>
        </w:rPr>
        <w:t xml:space="preserve">. </w:t>
      </w:r>
      <w:r w:rsidR="002B5446" w:rsidRPr="00EF19C2">
        <w:rPr>
          <w:rFonts w:ascii="Times New Roman" w:hAnsi="Times New Roman" w:cs="Times New Roman"/>
        </w:rPr>
        <w:t xml:space="preserve">In 1992, </w:t>
      </w:r>
      <w:r w:rsidR="00EE7838" w:rsidRPr="00EF19C2">
        <w:rPr>
          <w:rFonts w:ascii="Times New Roman" w:hAnsi="Times New Roman" w:cs="Times New Roman"/>
        </w:rPr>
        <w:t xml:space="preserve">189 countries made an international treaty known as </w:t>
      </w:r>
      <w:hyperlink r:id="rId7" w:history="1">
        <w:r w:rsidR="00EE7838" w:rsidRPr="00EF19C2">
          <w:rPr>
            <w:rStyle w:val="Hyperlink"/>
            <w:rFonts w:ascii="Times New Roman" w:hAnsi="Times New Roman" w:cs="Times New Roman"/>
          </w:rPr>
          <w:t>United Nations Framework Convention on Climate Change (UNFCC</w:t>
        </w:r>
        <w:r w:rsidR="00B1556F" w:rsidRPr="00EF19C2">
          <w:rPr>
            <w:rStyle w:val="Hyperlink"/>
            <w:rFonts w:ascii="Times New Roman" w:hAnsi="Times New Roman" w:cs="Times New Roman"/>
          </w:rPr>
          <w:t>C</w:t>
        </w:r>
        <w:r w:rsidR="00EE7838" w:rsidRPr="00EF19C2">
          <w:rPr>
            <w:rStyle w:val="Hyperlink"/>
            <w:rFonts w:ascii="Times New Roman" w:hAnsi="Times New Roman" w:cs="Times New Roman"/>
          </w:rPr>
          <w:t>)</w:t>
        </w:r>
      </w:hyperlink>
      <w:r w:rsidR="0054250F" w:rsidRPr="00EF19C2">
        <w:rPr>
          <w:rFonts w:ascii="Times New Roman" w:hAnsi="Times New Roman" w:cs="Times New Roman"/>
        </w:rPr>
        <w:t xml:space="preserve"> after realizing the </w:t>
      </w:r>
      <w:r w:rsidR="008A53F6" w:rsidRPr="00EF19C2">
        <w:rPr>
          <w:rFonts w:ascii="Times New Roman" w:hAnsi="Times New Roman" w:cs="Times New Roman"/>
        </w:rPr>
        <w:t>complications of Global warming</w:t>
      </w:r>
      <w:r w:rsidR="00F6357C" w:rsidRPr="00EF19C2">
        <w:rPr>
          <w:rFonts w:ascii="Times New Roman" w:hAnsi="Times New Roman" w:cs="Times New Roman"/>
        </w:rPr>
        <w:t xml:space="preserve">, that adopted its legal framework in June,1992 </w:t>
      </w:r>
      <w:r w:rsidR="000F690E" w:rsidRPr="00EF19C2">
        <w:rPr>
          <w:rFonts w:ascii="Times New Roman" w:hAnsi="Times New Roman" w:cs="Times New Roman"/>
        </w:rPr>
        <w:t xml:space="preserve">at the </w:t>
      </w:r>
      <w:r w:rsidR="000F690E" w:rsidRPr="00EF19C2">
        <w:rPr>
          <w:rFonts w:ascii="Times New Roman" w:hAnsi="Times New Roman" w:cs="Times New Roman"/>
          <w:i/>
          <w:iCs/>
        </w:rPr>
        <w:t>“</w:t>
      </w:r>
      <w:r w:rsidR="00F6357C" w:rsidRPr="00EF19C2">
        <w:rPr>
          <w:rFonts w:ascii="Times New Roman" w:hAnsi="Times New Roman" w:cs="Times New Roman"/>
          <w:i/>
          <w:iCs/>
        </w:rPr>
        <w:t>Rio Earth Summit</w:t>
      </w:r>
      <w:r w:rsidR="000F690E" w:rsidRPr="00EF19C2">
        <w:rPr>
          <w:rFonts w:ascii="Times New Roman" w:hAnsi="Times New Roman" w:cs="Times New Roman"/>
          <w:i/>
          <w:iCs/>
        </w:rPr>
        <w:t>”</w:t>
      </w:r>
      <w:r w:rsidR="000F690E" w:rsidRPr="00EF19C2">
        <w:rPr>
          <w:rFonts w:ascii="Times New Roman" w:hAnsi="Times New Roman" w:cs="Times New Roman"/>
        </w:rPr>
        <w:t>.</w:t>
      </w:r>
      <w:r w:rsidR="00527000" w:rsidRPr="00EF19C2">
        <w:rPr>
          <w:rFonts w:ascii="Times New Roman" w:hAnsi="Times New Roman" w:cs="Times New Roman"/>
        </w:rPr>
        <w:t xml:space="preserve"> Despite the adoption, the GHG emissions continued to grow, which </w:t>
      </w:r>
      <w:r w:rsidR="00B34912" w:rsidRPr="00EF19C2">
        <w:rPr>
          <w:rFonts w:ascii="Times New Roman" w:hAnsi="Times New Roman" w:cs="Times New Roman"/>
        </w:rPr>
        <w:t xml:space="preserve">enforced the requirement for </w:t>
      </w:r>
      <w:r w:rsidR="00934A4F" w:rsidRPr="00EF19C2">
        <w:rPr>
          <w:rFonts w:ascii="Times New Roman" w:hAnsi="Times New Roman" w:cs="Times New Roman"/>
        </w:rPr>
        <w:t xml:space="preserve">a stricter protocol, also taking account of the negotiations from the member countries, </w:t>
      </w:r>
      <w:r w:rsidR="00EA2442" w:rsidRPr="00EF19C2">
        <w:rPr>
          <w:rFonts w:ascii="Times New Roman" w:hAnsi="Times New Roman" w:cs="Times New Roman"/>
        </w:rPr>
        <w:t>which is the “</w:t>
      </w:r>
      <w:hyperlink r:id="rId8" w:history="1">
        <w:r w:rsidR="00EA2442" w:rsidRPr="00EF19C2">
          <w:rPr>
            <w:rStyle w:val="Hyperlink"/>
            <w:rFonts w:ascii="Times New Roman" w:hAnsi="Times New Roman" w:cs="Times New Roman"/>
            <w:i/>
            <w:iCs/>
          </w:rPr>
          <w:t>Kyoto Protocol</w:t>
        </w:r>
      </w:hyperlink>
      <w:r w:rsidR="00EA2442" w:rsidRPr="00EF19C2">
        <w:rPr>
          <w:rFonts w:ascii="Times New Roman" w:hAnsi="Times New Roman" w:cs="Times New Roman"/>
        </w:rPr>
        <w:t>” in 1997.</w:t>
      </w:r>
      <w:r w:rsidR="00026556">
        <w:rPr>
          <w:rFonts w:ascii="Times New Roman" w:hAnsi="Times New Roman" w:cs="Times New Roman"/>
        </w:rPr>
        <w:fldChar w:fldCharType="begin"/>
      </w:r>
      <w:r w:rsidR="005265D9">
        <w:rPr>
          <w:rFonts w:ascii="Times New Roman" w:hAnsi="Times New Roman" w:cs="Times New Roman"/>
        </w:rPr>
        <w:instrText xml:space="preserve"> ADDIN ZOTERO_ITEM CSL_CITATION {"citationID":"LY1s9sqb","properties":{"formattedCitation":"[5]","plainCitation":"[5]","noteIndex":0},"citationItems":[{"id":586,"uris":["http://zotero.org/users/13646356/items/3H9VNXYI"],"itemData":{"id":586,"type":"article-journal","abstract":"International concern about climate change has led to the Kyoto Protocol, negotiated in 1997, which contains legally binding emission targets for industrialized countries to be achieved during the commitment period 2008–12. While proponents of the Protocol celebrate it as a breakthrough in international climate policy, opponents say that its approach, namely setting targets and timetables for emission reductions, is seriously flawed. This paper provides a critical assessment of the Protocol's potential performance and discusses amendments to foster its effectiveness and efficiency. It concludes that, even without any effective emission reductions in the initial commitment period, the ratification of Kyoto is important for the further policy process of climate protection. The Kyoto Protocol has established a flexible, broad-based, international mechanism that provides a valuable starting point for shaping efficient climate policies in the future.","container-title":"Oxford Review of Economic Policy","DOI":"10.1093/oxrep/19.3.451","ISSN":"0266-903X","issue":"3","journalAbbreviation":"Oxford Review of Economic Policy","page":"451-466","title":"The Kyoto Protocol: A Review and Perspectives","volume":"19","author":[{"family":"Böhringer","given":"Christoph"}],"issued":{"date-parts":[["2003",9,1]]}}}],"schema":"https://github.com/citation-style-language/schema/raw/master/csl-citation.json"} </w:instrText>
      </w:r>
      <w:r w:rsidR="00026556">
        <w:rPr>
          <w:rFonts w:ascii="Times New Roman" w:hAnsi="Times New Roman" w:cs="Times New Roman"/>
        </w:rPr>
        <w:fldChar w:fldCharType="separate"/>
      </w:r>
      <w:r w:rsidR="005265D9" w:rsidRPr="005265D9">
        <w:rPr>
          <w:rFonts w:ascii="Times New Roman" w:hAnsi="Times New Roman" w:cs="Times New Roman"/>
        </w:rPr>
        <w:t>[5]</w:t>
      </w:r>
      <w:r w:rsidR="00026556">
        <w:rPr>
          <w:rFonts w:ascii="Times New Roman" w:hAnsi="Times New Roman" w:cs="Times New Roman"/>
        </w:rPr>
        <w:fldChar w:fldCharType="end"/>
      </w:r>
    </w:p>
    <w:p w14:paraId="4719537F" w14:textId="7FD8ACDD" w:rsidR="005C4C25" w:rsidRPr="00EF19C2" w:rsidRDefault="00ED076A" w:rsidP="00A458BA">
      <w:pPr>
        <w:jc w:val="both"/>
        <w:rPr>
          <w:rFonts w:ascii="Times New Roman" w:hAnsi="Times New Roman" w:cs="Times New Roman"/>
        </w:rPr>
      </w:pPr>
      <w:r w:rsidRPr="00EF19C2">
        <w:rPr>
          <w:rFonts w:ascii="Times New Roman" w:hAnsi="Times New Roman" w:cs="Times New Roman"/>
        </w:rPr>
        <w:t xml:space="preserve">The protocol was </w:t>
      </w:r>
      <w:r w:rsidR="00903A68" w:rsidRPr="00EF19C2">
        <w:rPr>
          <w:rFonts w:ascii="Times New Roman" w:hAnsi="Times New Roman" w:cs="Times New Roman"/>
        </w:rPr>
        <w:t xml:space="preserve">supposed to be endorsed by </w:t>
      </w:r>
      <w:r w:rsidR="007831A2" w:rsidRPr="00EF19C2">
        <w:rPr>
          <w:rFonts w:ascii="Times New Roman" w:hAnsi="Times New Roman" w:cs="Times New Roman"/>
        </w:rPr>
        <w:t>at least</w:t>
      </w:r>
      <w:r w:rsidR="00903A68" w:rsidRPr="00EF19C2">
        <w:rPr>
          <w:rFonts w:ascii="Times New Roman" w:hAnsi="Times New Roman" w:cs="Times New Roman"/>
        </w:rPr>
        <w:t xml:space="preserve"> 55 countries</w:t>
      </w:r>
      <w:r w:rsidR="007831A2" w:rsidRPr="00EF19C2">
        <w:rPr>
          <w:rFonts w:ascii="Times New Roman" w:hAnsi="Times New Roman" w:cs="Times New Roman"/>
        </w:rPr>
        <w:t xml:space="preserve">, </w:t>
      </w:r>
      <w:r w:rsidR="00545305" w:rsidRPr="00EF19C2">
        <w:rPr>
          <w:rFonts w:ascii="Times New Roman" w:hAnsi="Times New Roman" w:cs="Times New Roman"/>
        </w:rPr>
        <w:t>which</w:t>
      </w:r>
      <w:r w:rsidR="007831A2" w:rsidRPr="00EF19C2">
        <w:rPr>
          <w:rFonts w:ascii="Times New Roman" w:hAnsi="Times New Roman" w:cs="Times New Roman"/>
        </w:rPr>
        <w:t xml:space="preserve"> </w:t>
      </w:r>
      <w:r w:rsidR="00BA7878" w:rsidRPr="00EF19C2">
        <w:rPr>
          <w:rFonts w:ascii="Times New Roman" w:hAnsi="Times New Roman" w:cs="Times New Roman"/>
        </w:rPr>
        <w:t>represent</w:t>
      </w:r>
      <w:r w:rsidR="007831A2" w:rsidRPr="00EF19C2">
        <w:rPr>
          <w:rFonts w:ascii="Times New Roman" w:hAnsi="Times New Roman" w:cs="Times New Roman"/>
        </w:rPr>
        <w:t xml:space="preserve"> at least minimum of 55% emissions in 1990</w:t>
      </w:r>
      <w:r w:rsidR="00F626DB" w:rsidRPr="00EF19C2">
        <w:rPr>
          <w:rFonts w:ascii="Times New Roman" w:hAnsi="Times New Roman" w:cs="Times New Roman"/>
        </w:rPr>
        <w:t>, was achieved by the endorsement of Russia in 2004.</w:t>
      </w:r>
      <w:r w:rsidR="00644E00" w:rsidRPr="00EF19C2">
        <w:rPr>
          <w:rFonts w:ascii="Times New Roman" w:hAnsi="Times New Roman" w:cs="Times New Roman"/>
        </w:rPr>
        <w:t xml:space="preserve"> Although,</w:t>
      </w:r>
      <w:r w:rsidR="00F626DB" w:rsidRPr="00EF19C2">
        <w:rPr>
          <w:rFonts w:ascii="Times New Roman" w:hAnsi="Times New Roman" w:cs="Times New Roman"/>
        </w:rPr>
        <w:t xml:space="preserve"> The United stated did not </w:t>
      </w:r>
      <w:r w:rsidR="00644E00" w:rsidRPr="00EF19C2">
        <w:rPr>
          <w:rFonts w:ascii="Times New Roman" w:hAnsi="Times New Roman" w:cs="Times New Roman"/>
        </w:rPr>
        <w:t>sanction the objectives</w:t>
      </w:r>
      <w:r w:rsidR="00D107A0">
        <w:rPr>
          <w:rFonts w:ascii="Times New Roman" w:hAnsi="Times New Roman" w:cs="Times New Roman"/>
        </w:rPr>
        <w:t>.</w:t>
      </w:r>
      <w:r w:rsidR="002E708E" w:rsidRPr="00EF19C2">
        <w:rPr>
          <w:rFonts w:ascii="Times New Roman" w:hAnsi="Times New Roman" w:cs="Times New Roman"/>
        </w:rPr>
        <w:t xml:space="preserve"> </w:t>
      </w:r>
      <w:r w:rsidR="00E146AE">
        <w:rPr>
          <w:rFonts w:ascii="Times New Roman" w:hAnsi="Times New Roman" w:cs="Times New Roman"/>
        </w:rPr>
        <w:fldChar w:fldCharType="begin"/>
      </w:r>
      <w:r w:rsidR="003800EF">
        <w:rPr>
          <w:rFonts w:ascii="Times New Roman" w:hAnsi="Times New Roman" w:cs="Times New Roman"/>
        </w:rPr>
        <w:instrText xml:space="preserve"> ADDIN ZOTERO_ITEM CSL_CITATION {"citationID":"yHNqSBgD","properties":{"formattedCitation":"[6]","plainCitation":"[6]","noteIndex":0},"citationItems":[{"id":575,"uris":["http://zotero.org/users/13646356/items/INLW433B"],"itemData":{"id":575,"type":"report","collection-title":"5.1-The Kyoto Protocol","page":"32-41","title":"Kyoto Protocol","URL":"https://www.statistiques.developpement-durable.gouv.fr/sites/default/files/2024-11/english_publication_ENG5%20REPERES%202010%20ENG-Partie%205.pdf"}}],"schema":"https://github.com/citation-style-language/schema/raw/master/csl-citation.json"} </w:instrText>
      </w:r>
      <w:r w:rsidR="00E146AE">
        <w:rPr>
          <w:rFonts w:ascii="Times New Roman" w:hAnsi="Times New Roman" w:cs="Times New Roman"/>
        </w:rPr>
        <w:fldChar w:fldCharType="separate"/>
      </w:r>
      <w:r w:rsidR="005265D9" w:rsidRPr="005265D9">
        <w:rPr>
          <w:rFonts w:ascii="Times New Roman" w:hAnsi="Times New Roman" w:cs="Times New Roman"/>
        </w:rPr>
        <w:t>[6]</w:t>
      </w:r>
      <w:r w:rsidR="00E146AE">
        <w:rPr>
          <w:rFonts w:ascii="Times New Roman" w:hAnsi="Times New Roman" w:cs="Times New Roman"/>
        </w:rPr>
        <w:fldChar w:fldCharType="end"/>
      </w:r>
    </w:p>
    <w:p w14:paraId="5EC487E3" w14:textId="77777777" w:rsidR="00B067F8" w:rsidRPr="00EF19C2" w:rsidRDefault="00B067F8" w:rsidP="00B067F8">
      <w:pPr>
        <w:jc w:val="both"/>
        <w:rPr>
          <w:rFonts w:ascii="Times New Roman" w:hAnsi="Times New Roman" w:cs="Times New Roman"/>
          <w:b/>
          <w:bCs/>
        </w:rPr>
      </w:pPr>
      <w:r w:rsidRPr="00EF19C2">
        <w:rPr>
          <w:rFonts w:ascii="Times New Roman" w:hAnsi="Times New Roman" w:cs="Times New Roman"/>
          <w:b/>
          <w:bCs/>
        </w:rPr>
        <w:t>European Union-Emission Trading Scheme (EU-ETS)</w:t>
      </w:r>
    </w:p>
    <w:p w14:paraId="6621CEF5" w14:textId="56C6DFCA" w:rsidR="00C63048" w:rsidRPr="00EF19C2" w:rsidRDefault="00B067F8" w:rsidP="00A458BA">
      <w:pPr>
        <w:jc w:val="both"/>
        <w:rPr>
          <w:rFonts w:ascii="Times New Roman" w:hAnsi="Times New Roman" w:cs="Times New Roman"/>
        </w:rPr>
      </w:pPr>
      <w:r w:rsidRPr="00EF19C2">
        <w:rPr>
          <w:rFonts w:ascii="Times New Roman" w:hAnsi="Times New Roman" w:cs="Times New Roman"/>
        </w:rPr>
        <w:t xml:space="preserve">The </w:t>
      </w:r>
      <w:hyperlink r:id="rId9" w:history="1">
        <w:r w:rsidRPr="00817B97">
          <w:rPr>
            <w:rStyle w:val="Hyperlink"/>
            <w:rFonts w:ascii="Times New Roman" w:hAnsi="Times New Roman" w:cs="Times New Roman"/>
          </w:rPr>
          <w:t>European Union-Emission Trading Scheme (EU-ETS)</w:t>
        </w:r>
      </w:hyperlink>
      <w:r w:rsidRPr="00EF19C2">
        <w:rPr>
          <w:rFonts w:ascii="Times New Roman" w:hAnsi="Times New Roman" w:cs="Times New Roman"/>
        </w:rPr>
        <w:t xml:space="preserve"> is one </w:t>
      </w:r>
      <w:r w:rsidR="00EF19C2" w:rsidRPr="00EF19C2">
        <w:rPr>
          <w:rFonts w:ascii="Times New Roman" w:hAnsi="Times New Roman" w:cs="Times New Roman"/>
        </w:rPr>
        <w:t>of the</w:t>
      </w:r>
      <w:r w:rsidRPr="00EF19C2">
        <w:rPr>
          <w:rFonts w:ascii="Times New Roman" w:hAnsi="Times New Roman" w:cs="Times New Roman"/>
        </w:rPr>
        <w:t xml:space="preserve"> key </w:t>
      </w:r>
      <w:r w:rsidR="00E84C40" w:rsidRPr="00EF19C2">
        <w:rPr>
          <w:rFonts w:ascii="Times New Roman" w:hAnsi="Times New Roman" w:cs="Times New Roman"/>
        </w:rPr>
        <w:t xml:space="preserve">landmarks for the energy transition and interest towards climate change. </w:t>
      </w:r>
      <w:r w:rsidR="0039344B" w:rsidRPr="00EF19C2">
        <w:rPr>
          <w:rFonts w:ascii="Times New Roman" w:hAnsi="Times New Roman" w:cs="Times New Roman"/>
        </w:rPr>
        <w:t xml:space="preserve">It was launched in 2005, to bring the overall EU emissions down </w:t>
      </w:r>
      <w:r w:rsidR="00EF19C2" w:rsidRPr="00EF19C2">
        <w:rPr>
          <w:rFonts w:ascii="Times New Roman" w:hAnsi="Times New Roman" w:cs="Times New Roman"/>
        </w:rPr>
        <w:t>and</w:t>
      </w:r>
      <w:r w:rsidR="0039344B" w:rsidRPr="00EF19C2">
        <w:rPr>
          <w:rFonts w:ascii="Times New Roman" w:hAnsi="Times New Roman" w:cs="Times New Roman"/>
        </w:rPr>
        <w:t xml:space="preserve"> generating income</w:t>
      </w:r>
      <w:r w:rsidR="00CA7DC5" w:rsidRPr="00EF19C2">
        <w:rPr>
          <w:rFonts w:ascii="Times New Roman" w:hAnsi="Times New Roman" w:cs="Times New Roman"/>
        </w:rPr>
        <w:t xml:space="preserve"> to utilize for the green transition. It </w:t>
      </w:r>
      <w:r w:rsidR="00EF19C2" w:rsidRPr="00EF19C2">
        <w:rPr>
          <w:rFonts w:ascii="Times New Roman" w:hAnsi="Times New Roman" w:cs="Times New Roman"/>
        </w:rPr>
        <w:t>is</w:t>
      </w:r>
      <w:r w:rsidR="00CA7DC5" w:rsidRPr="00EF19C2">
        <w:rPr>
          <w:rFonts w:ascii="Times New Roman" w:hAnsi="Times New Roman" w:cs="Times New Roman"/>
        </w:rPr>
        <w:t xml:space="preserve"> </w:t>
      </w:r>
      <w:r w:rsidR="00EF19C2">
        <w:rPr>
          <w:rFonts w:ascii="Times New Roman" w:hAnsi="Times New Roman" w:cs="Times New Roman"/>
        </w:rPr>
        <w:t>t</w:t>
      </w:r>
      <w:r w:rsidR="00CA7DC5" w:rsidRPr="00EF19C2">
        <w:rPr>
          <w:rFonts w:ascii="Times New Roman" w:hAnsi="Times New Roman" w:cs="Times New Roman"/>
        </w:rPr>
        <w:t>he world’s first</w:t>
      </w:r>
      <w:r w:rsidR="00660052" w:rsidRPr="00EF19C2">
        <w:rPr>
          <w:rFonts w:ascii="Times New Roman" w:hAnsi="Times New Roman" w:cs="Times New Roman"/>
        </w:rPr>
        <w:t xml:space="preserve"> and recognised as largest</w:t>
      </w:r>
      <w:r w:rsidR="00CA7DC5" w:rsidRPr="00EF19C2">
        <w:rPr>
          <w:rFonts w:ascii="Times New Roman" w:hAnsi="Times New Roman" w:cs="Times New Roman"/>
        </w:rPr>
        <w:t xml:space="preserve"> carbon market</w:t>
      </w:r>
      <w:r w:rsidR="00660052" w:rsidRPr="00EF19C2">
        <w:rPr>
          <w:rFonts w:ascii="Times New Roman" w:hAnsi="Times New Roman" w:cs="Times New Roman"/>
        </w:rPr>
        <w:t>.</w:t>
      </w:r>
    </w:p>
    <w:p w14:paraId="500D103B" w14:textId="1B40F60E" w:rsidR="00186897" w:rsidRPr="00EF19C2" w:rsidRDefault="00660052" w:rsidP="00A458BA">
      <w:pPr>
        <w:jc w:val="both"/>
        <w:rPr>
          <w:rFonts w:ascii="Times New Roman" w:hAnsi="Times New Roman" w:cs="Times New Roman"/>
        </w:rPr>
      </w:pPr>
      <w:r w:rsidRPr="00EF19C2">
        <w:rPr>
          <w:rFonts w:ascii="Times New Roman" w:hAnsi="Times New Roman" w:cs="Times New Roman"/>
        </w:rPr>
        <w:t>The EU-ETS is basically a</w:t>
      </w:r>
      <w:r w:rsidR="00E41FE6" w:rsidRPr="00EF19C2">
        <w:rPr>
          <w:rFonts w:ascii="Times New Roman" w:hAnsi="Times New Roman" w:cs="Times New Roman"/>
        </w:rPr>
        <w:t xml:space="preserve"> “</w:t>
      </w:r>
      <w:r w:rsidRPr="00EF19C2">
        <w:rPr>
          <w:rFonts w:ascii="Times New Roman" w:hAnsi="Times New Roman" w:cs="Times New Roman"/>
        </w:rPr>
        <w:t>cap and tra</w:t>
      </w:r>
      <w:r w:rsidR="001550E7" w:rsidRPr="00EF19C2">
        <w:rPr>
          <w:rFonts w:ascii="Times New Roman" w:hAnsi="Times New Roman" w:cs="Times New Roman"/>
        </w:rPr>
        <w:t xml:space="preserve">de” </w:t>
      </w:r>
      <w:r w:rsidR="00A11937" w:rsidRPr="00EF19C2">
        <w:rPr>
          <w:rFonts w:ascii="Times New Roman" w:hAnsi="Times New Roman" w:cs="Times New Roman"/>
        </w:rPr>
        <w:t>policy</w:t>
      </w:r>
      <w:r w:rsidR="00770E9C" w:rsidRPr="00EF19C2">
        <w:rPr>
          <w:rFonts w:ascii="Times New Roman" w:hAnsi="Times New Roman" w:cs="Times New Roman"/>
        </w:rPr>
        <w:t xml:space="preserve">. The cap is the limit </w:t>
      </w:r>
      <w:r w:rsidR="00704308" w:rsidRPr="00EF19C2">
        <w:rPr>
          <w:rFonts w:ascii="Times New Roman" w:hAnsi="Times New Roman" w:cs="Times New Roman"/>
        </w:rPr>
        <w:t xml:space="preserve">on the total amount of GHG emitted by the </w:t>
      </w:r>
      <w:r w:rsidR="00EF19C2" w:rsidRPr="00EF19C2">
        <w:rPr>
          <w:rFonts w:ascii="Times New Roman" w:hAnsi="Times New Roman" w:cs="Times New Roman"/>
        </w:rPr>
        <w:t>industries</w:t>
      </w:r>
      <w:r w:rsidR="001A5A8E" w:rsidRPr="00EF19C2">
        <w:rPr>
          <w:rFonts w:ascii="Times New Roman" w:hAnsi="Times New Roman" w:cs="Times New Roman"/>
        </w:rPr>
        <w:t>, according to the scope of the scheme. It is gradually brought down or decreased every year, to reduce the overa</w:t>
      </w:r>
      <w:r w:rsidR="00917FEF" w:rsidRPr="00EF19C2">
        <w:rPr>
          <w:rFonts w:ascii="Times New Roman" w:hAnsi="Times New Roman" w:cs="Times New Roman"/>
        </w:rPr>
        <w:t xml:space="preserve">ll emissions and reach the climate goals. </w:t>
      </w:r>
      <w:r w:rsidR="00186897" w:rsidRPr="00EF19C2">
        <w:rPr>
          <w:rFonts w:ascii="Times New Roman" w:hAnsi="Times New Roman" w:cs="Times New Roman"/>
        </w:rPr>
        <w:t>The allowance of the ca</w:t>
      </w:r>
      <w:r w:rsidR="00627688" w:rsidRPr="00EF19C2">
        <w:rPr>
          <w:rFonts w:ascii="Times New Roman" w:hAnsi="Times New Roman" w:cs="Times New Roman"/>
        </w:rPr>
        <w:t xml:space="preserve">rbon emission is sold in auctions and possible to be traded. The </w:t>
      </w:r>
      <w:r w:rsidR="006C114F" w:rsidRPr="00EF19C2">
        <w:rPr>
          <w:rFonts w:ascii="Times New Roman" w:hAnsi="Times New Roman" w:cs="Times New Roman"/>
        </w:rPr>
        <w:t xml:space="preserve">allowance gives right to emit a certain amount of carbon, </w:t>
      </w:r>
      <w:r w:rsidR="002430A6" w:rsidRPr="00EF19C2">
        <w:rPr>
          <w:rFonts w:ascii="Times New Roman" w:hAnsi="Times New Roman" w:cs="Times New Roman"/>
        </w:rPr>
        <w:t>e.g., one allowance is equivalent to one tonne of CO</w:t>
      </w:r>
      <w:r w:rsidR="004A1E17" w:rsidRPr="00EF19C2">
        <w:rPr>
          <w:rFonts w:ascii="Times New Roman" w:hAnsi="Times New Roman" w:cs="Times New Roman"/>
          <w:vertAlign w:val="subscript"/>
        </w:rPr>
        <w:t>2</w:t>
      </w:r>
      <w:r w:rsidR="004A1E17" w:rsidRPr="00EF19C2">
        <w:rPr>
          <w:rFonts w:ascii="Times New Roman" w:hAnsi="Times New Roman" w:cs="Times New Roman"/>
        </w:rPr>
        <w:t xml:space="preserve"> equivalent. </w:t>
      </w:r>
    </w:p>
    <w:p w14:paraId="5DEC3ED1" w14:textId="2673DC9F" w:rsidR="004A1E17" w:rsidRPr="00EF19C2" w:rsidRDefault="004A1E17" w:rsidP="00A458BA">
      <w:pPr>
        <w:jc w:val="both"/>
        <w:rPr>
          <w:rFonts w:ascii="Times New Roman" w:hAnsi="Times New Roman" w:cs="Times New Roman"/>
        </w:rPr>
      </w:pPr>
      <w:r w:rsidRPr="00EF19C2">
        <w:rPr>
          <w:rFonts w:ascii="Times New Roman" w:hAnsi="Times New Roman" w:cs="Times New Roman"/>
        </w:rPr>
        <w:t>When the cap decreases, the supply of the allowances sold will also decrease</w:t>
      </w:r>
      <w:r w:rsidR="003C62D4" w:rsidRPr="00EF19C2">
        <w:rPr>
          <w:rFonts w:ascii="Times New Roman" w:hAnsi="Times New Roman" w:cs="Times New Roman"/>
        </w:rPr>
        <w:t xml:space="preserve"> in the EU carbon market.</w:t>
      </w:r>
    </w:p>
    <w:p w14:paraId="34934EB0" w14:textId="1716C6CC" w:rsidR="00660052" w:rsidRPr="00EF19C2" w:rsidRDefault="00917FEF" w:rsidP="00A458BA">
      <w:pPr>
        <w:jc w:val="both"/>
        <w:rPr>
          <w:rFonts w:ascii="Times New Roman" w:hAnsi="Times New Roman" w:cs="Times New Roman"/>
        </w:rPr>
      </w:pPr>
      <w:r w:rsidRPr="00EF19C2">
        <w:rPr>
          <w:rFonts w:ascii="Times New Roman" w:hAnsi="Times New Roman" w:cs="Times New Roman"/>
        </w:rPr>
        <w:t xml:space="preserve">By 2023, the scheme has helped to </w:t>
      </w:r>
      <w:r w:rsidR="00186897" w:rsidRPr="00EF19C2">
        <w:rPr>
          <w:rFonts w:ascii="Times New Roman" w:hAnsi="Times New Roman" w:cs="Times New Roman"/>
        </w:rPr>
        <w:t xml:space="preserve">decrease the emission </w:t>
      </w:r>
      <w:r w:rsidR="00EF19C2" w:rsidRPr="00EF19C2">
        <w:rPr>
          <w:rFonts w:ascii="Times New Roman" w:hAnsi="Times New Roman" w:cs="Times New Roman"/>
        </w:rPr>
        <w:t>up to</w:t>
      </w:r>
      <w:r w:rsidR="00186897" w:rsidRPr="00EF19C2">
        <w:rPr>
          <w:rFonts w:ascii="Times New Roman" w:hAnsi="Times New Roman" w:cs="Times New Roman"/>
        </w:rPr>
        <w:t xml:space="preserve"> 47%, in comparison with 2005. </w:t>
      </w:r>
    </w:p>
    <w:p w14:paraId="6CF84D62" w14:textId="7BD9B586" w:rsidR="008C771E" w:rsidRPr="00EF19C2" w:rsidRDefault="00F0383D" w:rsidP="00A458BA">
      <w:pPr>
        <w:jc w:val="both"/>
        <w:rPr>
          <w:rFonts w:ascii="Times New Roman" w:hAnsi="Times New Roman" w:cs="Times New Roman"/>
        </w:rPr>
      </w:pPr>
      <w:r w:rsidRPr="00EF19C2">
        <w:rPr>
          <w:rFonts w:ascii="Times New Roman" w:hAnsi="Times New Roman" w:cs="Times New Roman"/>
        </w:rPr>
        <w:t xml:space="preserve">So, in simple </w:t>
      </w:r>
      <w:r w:rsidR="006C66D9" w:rsidRPr="00EF19C2">
        <w:rPr>
          <w:rFonts w:ascii="Times New Roman" w:hAnsi="Times New Roman" w:cs="Times New Roman"/>
        </w:rPr>
        <w:t>Terms</w:t>
      </w:r>
      <w:r w:rsidRPr="00EF19C2">
        <w:rPr>
          <w:rFonts w:ascii="Times New Roman" w:hAnsi="Times New Roman" w:cs="Times New Roman"/>
        </w:rPr>
        <w:t xml:space="preserve">, if I have 5 allowances now, I can emit </w:t>
      </w:r>
      <w:r w:rsidR="00EF19C2" w:rsidRPr="00EF19C2">
        <w:rPr>
          <w:rFonts w:ascii="Times New Roman" w:hAnsi="Times New Roman" w:cs="Times New Roman"/>
        </w:rPr>
        <w:t>up to</w:t>
      </w:r>
      <w:r w:rsidRPr="00EF19C2">
        <w:rPr>
          <w:rFonts w:ascii="Times New Roman" w:hAnsi="Times New Roman" w:cs="Times New Roman"/>
        </w:rPr>
        <w:t xml:space="preserve"> 5 tonnes of CO</w:t>
      </w:r>
      <w:r w:rsidRPr="00EF19C2">
        <w:rPr>
          <w:rFonts w:ascii="Times New Roman" w:hAnsi="Times New Roman" w:cs="Times New Roman"/>
          <w:vertAlign w:val="subscript"/>
        </w:rPr>
        <w:t>2</w:t>
      </w:r>
      <w:r w:rsidRPr="00EF19C2">
        <w:rPr>
          <w:rFonts w:ascii="Times New Roman" w:hAnsi="Times New Roman" w:cs="Times New Roman"/>
        </w:rPr>
        <w:t xml:space="preserve"> equivalent. The overall cap is </w:t>
      </w:r>
      <w:r w:rsidR="00B80944" w:rsidRPr="00EF19C2">
        <w:rPr>
          <w:rFonts w:ascii="Times New Roman" w:hAnsi="Times New Roman" w:cs="Times New Roman"/>
        </w:rPr>
        <w:t xml:space="preserve">set to 10 allowances. So, </w:t>
      </w:r>
      <w:r w:rsidR="00DF684D" w:rsidRPr="00EF19C2">
        <w:rPr>
          <w:rFonts w:ascii="Times New Roman" w:hAnsi="Times New Roman" w:cs="Times New Roman"/>
        </w:rPr>
        <w:t>the market</w:t>
      </w:r>
      <w:r w:rsidR="00B80944" w:rsidRPr="00EF19C2">
        <w:rPr>
          <w:rFonts w:ascii="Times New Roman" w:hAnsi="Times New Roman" w:cs="Times New Roman"/>
        </w:rPr>
        <w:t xml:space="preserve"> </w:t>
      </w:r>
      <w:r w:rsidR="00E004CA" w:rsidRPr="00EF19C2">
        <w:rPr>
          <w:rFonts w:ascii="Times New Roman" w:hAnsi="Times New Roman" w:cs="Times New Roman"/>
        </w:rPr>
        <w:t>only has</w:t>
      </w:r>
      <w:r w:rsidR="00B80944" w:rsidRPr="00EF19C2">
        <w:rPr>
          <w:rFonts w:ascii="Times New Roman" w:hAnsi="Times New Roman" w:cs="Times New Roman"/>
        </w:rPr>
        <w:t xml:space="preserve"> </w:t>
      </w:r>
      <w:r w:rsidR="00EF19C2" w:rsidRPr="00EF19C2">
        <w:rPr>
          <w:rFonts w:ascii="Times New Roman" w:hAnsi="Times New Roman" w:cs="Times New Roman"/>
        </w:rPr>
        <w:t>up to</w:t>
      </w:r>
      <w:r w:rsidR="00B80944" w:rsidRPr="00EF19C2">
        <w:rPr>
          <w:rFonts w:ascii="Times New Roman" w:hAnsi="Times New Roman" w:cs="Times New Roman"/>
        </w:rPr>
        <w:t xml:space="preserve"> 10 allowances</w:t>
      </w:r>
      <w:r w:rsidR="00DF684D" w:rsidRPr="00EF19C2">
        <w:rPr>
          <w:rFonts w:ascii="Times New Roman" w:hAnsi="Times New Roman" w:cs="Times New Roman"/>
        </w:rPr>
        <w:t xml:space="preserve">. </w:t>
      </w:r>
      <w:r w:rsidR="00BA6D42" w:rsidRPr="00EF19C2">
        <w:rPr>
          <w:rFonts w:ascii="Times New Roman" w:hAnsi="Times New Roman" w:cs="Times New Roman"/>
        </w:rPr>
        <w:t xml:space="preserve">If I already emit 5 allowances and I have surplus of </w:t>
      </w:r>
      <w:r w:rsidR="00EA7FD9" w:rsidRPr="00EF19C2">
        <w:rPr>
          <w:rFonts w:ascii="Times New Roman" w:hAnsi="Times New Roman" w:cs="Times New Roman"/>
        </w:rPr>
        <w:t xml:space="preserve">5 allowances, when the overall cap goes down, the demand and price of </w:t>
      </w:r>
      <w:r w:rsidR="00E004CA" w:rsidRPr="00EF19C2">
        <w:rPr>
          <w:rFonts w:ascii="Times New Roman" w:hAnsi="Times New Roman" w:cs="Times New Roman"/>
        </w:rPr>
        <w:t>t</w:t>
      </w:r>
      <w:r w:rsidR="00EA7FD9" w:rsidRPr="00EF19C2">
        <w:rPr>
          <w:rFonts w:ascii="Times New Roman" w:hAnsi="Times New Roman" w:cs="Times New Roman"/>
        </w:rPr>
        <w:t xml:space="preserve">he allowances will increase. </w:t>
      </w:r>
      <w:r w:rsidR="00AC5B3A" w:rsidRPr="00EF19C2">
        <w:rPr>
          <w:rFonts w:ascii="Times New Roman" w:hAnsi="Times New Roman" w:cs="Times New Roman"/>
        </w:rPr>
        <w:t xml:space="preserve">So, I can sell it </w:t>
      </w:r>
      <w:r w:rsidR="00EF19C2" w:rsidRPr="00EF19C2">
        <w:rPr>
          <w:rFonts w:ascii="Times New Roman" w:hAnsi="Times New Roman" w:cs="Times New Roman"/>
        </w:rPr>
        <w:t>for the</w:t>
      </w:r>
      <w:r w:rsidR="00AC5B3A" w:rsidRPr="00EF19C2">
        <w:rPr>
          <w:rFonts w:ascii="Times New Roman" w:hAnsi="Times New Roman" w:cs="Times New Roman"/>
        </w:rPr>
        <w:t xml:space="preserve"> industries that emit more CO</w:t>
      </w:r>
      <w:r w:rsidR="00AC5B3A" w:rsidRPr="00EF19C2">
        <w:rPr>
          <w:rFonts w:ascii="Times New Roman" w:hAnsi="Times New Roman" w:cs="Times New Roman"/>
          <w:vertAlign w:val="subscript"/>
        </w:rPr>
        <w:t xml:space="preserve">2 </w:t>
      </w:r>
      <w:r w:rsidR="00AC5B3A" w:rsidRPr="00EF19C2">
        <w:rPr>
          <w:rFonts w:ascii="Times New Roman" w:hAnsi="Times New Roman" w:cs="Times New Roman"/>
        </w:rPr>
        <w:t xml:space="preserve">and require more allowances. </w:t>
      </w:r>
      <w:r w:rsidR="008C771E" w:rsidRPr="00EF19C2">
        <w:rPr>
          <w:rFonts w:ascii="Times New Roman" w:hAnsi="Times New Roman" w:cs="Times New Roman"/>
        </w:rPr>
        <w:t xml:space="preserve">When the overall cap goes down, the </w:t>
      </w:r>
      <w:r w:rsidR="00EF19C2" w:rsidRPr="00EF19C2">
        <w:rPr>
          <w:rFonts w:ascii="Times New Roman" w:hAnsi="Times New Roman" w:cs="Times New Roman"/>
        </w:rPr>
        <w:t>number</w:t>
      </w:r>
      <w:r w:rsidR="008C771E" w:rsidRPr="00EF19C2">
        <w:rPr>
          <w:rFonts w:ascii="Times New Roman" w:hAnsi="Times New Roman" w:cs="Times New Roman"/>
        </w:rPr>
        <w:t xml:space="preserve"> of free allowances </w:t>
      </w:r>
      <w:r w:rsidR="003A35B0" w:rsidRPr="00EF19C2">
        <w:rPr>
          <w:rFonts w:ascii="Times New Roman" w:hAnsi="Times New Roman" w:cs="Times New Roman"/>
        </w:rPr>
        <w:t xml:space="preserve">issued, </w:t>
      </w:r>
      <w:r w:rsidR="008C771E" w:rsidRPr="00EF19C2">
        <w:rPr>
          <w:rFonts w:ascii="Times New Roman" w:hAnsi="Times New Roman" w:cs="Times New Roman"/>
        </w:rPr>
        <w:t xml:space="preserve">will also </w:t>
      </w:r>
      <w:r w:rsidR="003A35B0" w:rsidRPr="00EF19C2">
        <w:rPr>
          <w:rFonts w:ascii="Times New Roman" w:hAnsi="Times New Roman" w:cs="Times New Roman"/>
        </w:rPr>
        <w:t>decrease.</w:t>
      </w:r>
      <w:r w:rsidR="00535D5B" w:rsidRPr="00EF19C2">
        <w:rPr>
          <w:rFonts w:ascii="Times New Roman" w:hAnsi="Times New Roman" w:cs="Times New Roman"/>
        </w:rPr>
        <w:t xml:space="preserve"> But, If I have more allowances, I can emit CO</w:t>
      </w:r>
      <w:r w:rsidR="00535D5B" w:rsidRPr="00EF19C2">
        <w:rPr>
          <w:rFonts w:ascii="Times New Roman" w:hAnsi="Times New Roman" w:cs="Times New Roman"/>
          <w:vertAlign w:val="subscript"/>
        </w:rPr>
        <w:t>2</w:t>
      </w:r>
      <w:r w:rsidR="00535D5B" w:rsidRPr="00EF19C2">
        <w:rPr>
          <w:rFonts w:ascii="Times New Roman" w:hAnsi="Times New Roman" w:cs="Times New Roman"/>
        </w:rPr>
        <w:t xml:space="preserve">, </w:t>
      </w:r>
      <w:r w:rsidR="00EF19C2" w:rsidRPr="00EF19C2">
        <w:rPr>
          <w:rFonts w:ascii="Times New Roman" w:hAnsi="Times New Roman" w:cs="Times New Roman"/>
        </w:rPr>
        <w:t>up to</w:t>
      </w:r>
      <w:r w:rsidR="00535D5B" w:rsidRPr="00EF19C2">
        <w:rPr>
          <w:rFonts w:ascii="Times New Roman" w:hAnsi="Times New Roman" w:cs="Times New Roman"/>
        </w:rPr>
        <w:t xml:space="preserve"> the allowances I </w:t>
      </w:r>
      <w:r w:rsidR="00EF19C2" w:rsidRPr="00EF19C2">
        <w:rPr>
          <w:rFonts w:ascii="Times New Roman" w:hAnsi="Times New Roman" w:cs="Times New Roman"/>
        </w:rPr>
        <w:t>possess,</w:t>
      </w:r>
      <w:r w:rsidR="00767CC6" w:rsidRPr="00EF19C2">
        <w:rPr>
          <w:rFonts w:ascii="Times New Roman" w:hAnsi="Times New Roman" w:cs="Times New Roman"/>
        </w:rPr>
        <w:t xml:space="preserve"> and </w:t>
      </w:r>
      <w:r w:rsidR="00EF19C2" w:rsidRPr="00EF19C2">
        <w:rPr>
          <w:rFonts w:ascii="Times New Roman" w:hAnsi="Times New Roman" w:cs="Times New Roman"/>
        </w:rPr>
        <w:t>it</w:t>
      </w:r>
      <w:r w:rsidR="00767CC6" w:rsidRPr="00EF19C2">
        <w:rPr>
          <w:rFonts w:ascii="Times New Roman" w:hAnsi="Times New Roman" w:cs="Times New Roman"/>
        </w:rPr>
        <w:t xml:space="preserve"> is valid until EU cancels them all. </w:t>
      </w:r>
    </w:p>
    <w:p w14:paraId="294D8B14" w14:textId="24952839" w:rsidR="00767CC6" w:rsidRPr="00EF19C2" w:rsidRDefault="00767CC6" w:rsidP="00A458BA">
      <w:pPr>
        <w:jc w:val="both"/>
        <w:rPr>
          <w:rFonts w:ascii="Times New Roman" w:hAnsi="Times New Roman" w:cs="Times New Roman"/>
        </w:rPr>
      </w:pPr>
      <w:r w:rsidRPr="00EF19C2">
        <w:rPr>
          <w:rFonts w:ascii="Times New Roman" w:hAnsi="Times New Roman" w:cs="Times New Roman"/>
        </w:rPr>
        <w:t xml:space="preserve">If I have less allowances, </w:t>
      </w:r>
      <w:r w:rsidR="00DE3407" w:rsidRPr="00EF19C2">
        <w:rPr>
          <w:rFonts w:ascii="Times New Roman" w:hAnsi="Times New Roman" w:cs="Times New Roman"/>
        </w:rPr>
        <w:t>and the cap goes down, let’s say I have 6 allowances, the cap is set to a total of 4 allowances</w:t>
      </w:r>
      <w:r w:rsidR="00C32E83" w:rsidRPr="00EF19C2">
        <w:rPr>
          <w:rFonts w:ascii="Times New Roman" w:hAnsi="Times New Roman" w:cs="Times New Roman"/>
        </w:rPr>
        <w:t xml:space="preserve"> in total</w:t>
      </w:r>
      <w:r w:rsidR="00DE3407" w:rsidRPr="00EF19C2">
        <w:rPr>
          <w:rFonts w:ascii="Times New Roman" w:hAnsi="Times New Roman" w:cs="Times New Roman"/>
        </w:rPr>
        <w:t xml:space="preserve">, </w:t>
      </w:r>
      <w:r w:rsidR="00D415F5" w:rsidRPr="00EF19C2">
        <w:rPr>
          <w:rFonts w:ascii="Times New Roman" w:hAnsi="Times New Roman" w:cs="Times New Roman"/>
        </w:rPr>
        <w:t xml:space="preserve">but my emission is </w:t>
      </w:r>
      <w:r w:rsidR="00245CF9" w:rsidRPr="00EF19C2">
        <w:rPr>
          <w:rFonts w:ascii="Times New Roman" w:hAnsi="Times New Roman" w:cs="Times New Roman"/>
        </w:rPr>
        <w:t>12</w:t>
      </w:r>
      <w:r w:rsidR="00D415F5" w:rsidRPr="00EF19C2">
        <w:rPr>
          <w:rFonts w:ascii="Times New Roman" w:hAnsi="Times New Roman" w:cs="Times New Roman"/>
        </w:rPr>
        <w:t xml:space="preserve"> tonnes of CO</w:t>
      </w:r>
      <w:r w:rsidR="00D415F5" w:rsidRPr="00EF19C2">
        <w:rPr>
          <w:rFonts w:ascii="Times New Roman" w:hAnsi="Times New Roman" w:cs="Times New Roman"/>
          <w:vertAlign w:val="subscript"/>
        </w:rPr>
        <w:t>2</w:t>
      </w:r>
      <w:r w:rsidR="00D415F5" w:rsidRPr="00EF19C2">
        <w:rPr>
          <w:rFonts w:ascii="Times New Roman" w:hAnsi="Times New Roman" w:cs="Times New Roman"/>
        </w:rPr>
        <w:t xml:space="preserve"> equivalent, I need </w:t>
      </w:r>
      <w:r w:rsidR="00245CF9" w:rsidRPr="00EF19C2">
        <w:rPr>
          <w:rFonts w:ascii="Times New Roman" w:hAnsi="Times New Roman" w:cs="Times New Roman"/>
        </w:rPr>
        <w:t xml:space="preserve">6 more allowances. So, </w:t>
      </w:r>
      <w:r w:rsidR="00EF19C2" w:rsidRPr="00EF19C2">
        <w:rPr>
          <w:rFonts w:ascii="Times New Roman" w:hAnsi="Times New Roman" w:cs="Times New Roman"/>
        </w:rPr>
        <w:t>it</w:t>
      </w:r>
      <w:r w:rsidR="00245CF9" w:rsidRPr="00EF19C2">
        <w:rPr>
          <w:rFonts w:ascii="Times New Roman" w:hAnsi="Times New Roman" w:cs="Times New Roman"/>
        </w:rPr>
        <w:t xml:space="preserve"> makes the demand of the allowance increase, so does the price. </w:t>
      </w:r>
      <w:r w:rsidR="009A4CE9" w:rsidRPr="00EF19C2">
        <w:rPr>
          <w:rFonts w:ascii="Times New Roman" w:hAnsi="Times New Roman" w:cs="Times New Roman"/>
        </w:rPr>
        <w:t xml:space="preserve">It makes me either reduce my emission by </w:t>
      </w:r>
      <w:r w:rsidR="00C32E83" w:rsidRPr="00EF19C2">
        <w:rPr>
          <w:rFonts w:ascii="Times New Roman" w:hAnsi="Times New Roman" w:cs="Times New Roman"/>
        </w:rPr>
        <w:t>6</w:t>
      </w:r>
      <w:r w:rsidR="009A4CE9" w:rsidRPr="00EF19C2">
        <w:rPr>
          <w:rFonts w:ascii="Times New Roman" w:hAnsi="Times New Roman" w:cs="Times New Roman"/>
        </w:rPr>
        <w:t xml:space="preserve"> tonnes of CO</w:t>
      </w:r>
      <w:r w:rsidR="009A4CE9" w:rsidRPr="00EF19C2">
        <w:rPr>
          <w:rFonts w:ascii="Times New Roman" w:hAnsi="Times New Roman" w:cs="Times New Roman"/>
          <w:vertAlign w:val="subscript"/>
        </w:rPr>
        <w:t>2</w:t>
      </w:r>
      <w:r w:rsidR="009A4CE9" w:rsidRPr="00EF19C2">
        <w:rPr>
          <w:rFonts w:ascii="Times New Roman" w:hAnsi="Times New Roman" w:cs="Times New Roman"/>
        </w:rPr>
        <w:t xml:space="preserve"> equivalent or buy the allowance from an Industry which has surplus, for high price.</w:t>
      </w:r>
      <w:r w:rsidR="00AF24AA" w:rsidRPr="00EF19C2">
        <w:rPr>
          <w:rFonts w:ascii="Times New Roman" w:hAnsi="Times New Roman" w:cs="Times New Roman"/>
        </w:rPr>
        <w:t xml:space="preserve"> </w:t>
      </w:r>
      <w:r w:rsidR="00AF24AA" w:rsidRPr="00EF19C2">
        <w:rPr>
          <w:rFonts w:ascii="Times New Roman" w:hAnsi="Times New Roman" w:cs="Times New Roman"/>
        </w:rPr>
        <w:lastRenderedPageBreak/>
        <w:t xml:space="preserve">Even if I utilise my allocated allowances, I might still be scarce </w:t>
      </w:r>
      <w:r w:rsidR="00EF19C2" w:rsidRPr="00EF19C2">
        <w:rPr>
          <w:rFonts w:ascii="Times New Roman" w:hAnsi="Times New Roman" w:cs="Times New Roman"/>
        </w:rPr>
        <w:t>of the</w:t>
      </w:r>
      <w:r w:rsidR="00395E05" w:rsidRPr="00EF19C2">
        <w:rPr>
          <w:rFonts w:ascii="Times New Roman" w:hAnsi="Times New Roman" w:cs="Times New Roman"/>
        </w:rPr>
        <w:t xml:space="preserve"> required allowance, because of my heavy emission of CO</w:t>
      </w:r>
      <w:r w:rsidR="00395E05" w:rsidRPr="00EF19C2">
        <w:rPr>
          <w:rFonts w:ascii="Times New Roman" w:hAnsi="Times New Roman" w:cs="Times New Roman"/>
          <w:vertAlign w:val="subscript"/>
        </w:rPr>
        <w:t>2</w:t>
      </w:r>
      <w:r w:rsidR="00395E05" w:rsidRPr="00EF19C2">
        <w:rPr>
          <w:rFonts w:ascii="Times New Roman" w:hAnsi="Times New Roman" w:cs="Times New Roman"/>
        </w:rPr>
        <w:t>.</w:t>
      </w:r>
    </w:p>
    <w:p w14:paraId="2A33D05E" w14:textId="59EFE168" w:rsidR="00B45B71" w:rsidRPr="00EF19C2" w:rsidRDefault="00B45B71" w:rsidP="00A458BA">
      <w:pPr>
        <w:jc w:val="both"/>
        <w:rPr>
          <w:rFonts w:ascii="Times New Roman" w:hAnsi="Times New Roman" w:cs="Times New Roman"/>
        </w:rPr>
      </w:pPr>
      <w:r w:rsidRPr="00EF19C2">
        <w:rPr>
          <w:rFonts w:ascii="Times New Roman" w:hAnsi="Times New Roman" w:cs="Times New Roman"/>
          <w:i/>
          <w:iCs/>
        </w:rPr>
        <w:t>In short,</w:t>
      </w:r>
      <w:r w:rsidR="00EF19C2">
        <w:rPr>
          <w:rFonts w:ascii="Times New Roman" w:hAnsi="Times New Roman" w:cs="Times New Roman"/>
          <w:i/>
          <w:iCs/>
        </w:rPr>
        <w:t xml:space="preserve"> </w:t>
      </w:r>
      <w:r w:rsidRPr="00EF19C2">
        <w:rPr>
          <w:rFonts w:ascii="Times New Roman" w:hAnsi="Times New Roman" w:cs="Times New Roman"/>
          <w:i/>
          <w:iCs/>
        </w:rPr>
        <w:t>Surplus allowances= Financial advantage</w:t>
      </w:r>
    </w:p>
    <w:p w14:paraId="016BD86B" w14:textId="408C8ED8" w:rsidR="00574C21" w:rsidRPr="00574C21" w:rsidRDefault="00B45B71" w:rsidP="00A458BA">
      <w:pPr>
        <w:jc w:val="both"/>
        <w:rPr>
          <w:rFonts w:ascii="Times New Roman" w:hAnsi="Times New Roman" w:cs="Times New Roman"/>
          <w:i/>
          <w:iCs/>
        </w:rPr>
      </w:pPr>
      <w:r w:rsidRPr="00EF19C2">
        <w:rPr>
          <w:rFonts w:ascii="Times New Roman" w:hAnsi="Times New Roman" w:cs="Times New Roman"/>
          <w:i/>
          <w:iCs/>
        </w:rPr>
        <w:t xml:space="preserve">Deficit allowance= Either bring the emission down or buy the </w:t>
      </w:r>
      <w:r w:rsidR="006C66D9" w:rsidRPr="00EF19C2">
        <w:rPr>
          <w:rFonts w:ascii="Times New Roman" w:hAnsi="Times New Roman" w:cs="Times New Roman"/>
          <w:i/>
          <w:iCs/>
        </w:rPr>
        <w:t>allowance for high price.</w:t>
      </w:r>
    </w:p>
    <w:p w14:paraId="5070767D" w14:textId="2E5DB4BE" w:rsidR="00162ED8" w:rsidRPr="00EF19C2" w:rsidRDefault="00162ED8" w:rsidP="00A458BA">
      <w:pPr>
        <w:jc w:val="both"/>
        <w:rPr>
          <w:rFonts w:ascii="Times New Roman" w:hAnsi="Times New Roman" w:cs="Times New Roman"/>
          <w:b/>
          <w:bCs/>
        </w:rPr>
      </w:pPr>
      <w:r w:rsidRPr="00EF19C2">
        <w:rPr>
          <w:rFonts w:ascii="Times New Roman" w:hAnsi="Times New Roman" w:cs="Times New Roman"/>
          <w:b/>
          <w:bCs/>
        </w:rPr>
        <w:t>Paris Agreement 2015</w:t>
      </w:r>
    </w:p>
    <w:p w14:paraId="211F1353" w14:textId="658E9661" w:rsidR="00EC35FE" w:rsidRPr="00EF19C2" w:rsidRDefault="003F43DD" w:rsidP="00A458BA">
      <w:pPr>
        <w:jc w:val="both"/>
        <w:rPr>
          <w:rFonts w:ascii="Times New Roman" w:hAnsi="Times New Roman" w:cs="Times New Roman"/>
        </w:rPr>
      </w:pPr>
      <w:r w:rsidRPr="00EF19C2">
        <w:rPr>
          <w:rFonts w:ascii="Times New Roman" w:hAnsi="Times New Roman" w:cs="Times New Roman"/>
        </w:rPr>
        <w:t xml:space="preserve">The </w:t>
      </w:r>
      <w:hyperlink r:id="rId10" w:history="1">
        <w:r w:rsidRPr="00EF19C2">
          <w:rPr>
            <w:rStyle w:val="Hyperlink"/>
            <w:rFonts w:ascii="Times New Roman" w:hAnsi="Times New Roman" w:cs="Times New Roman"/>
          </w:rPr>
          <w:t>Paris Agreement</w:t>
        </w:r>
      </w:hyperlink>
      <w:r w:rsidRPr="00EF19C2">
        <w:rPr>
          <w:rFonts w:ascii="Times New Roman" w:hAnsi="Times New Roman" w:cs="Times New Roman"/>
        </w:rPr>
        <w:t xml:space="preserve"> was </w:t>
      </w:r>
      <w:r w:rsidR="00337AB2" w:rsidRPr="00EF19C2">
        <w:rPr>
          <w:rFonts w:ascii="Times New Roman" w:hAnsi="Times New Roman" w:cs="Times New Roman"/>
        </w:rPr>
        <w:t>announced in the UN Climate Conference (COP21</w:t>
      </w:r>
      <w:r w:rsidR="009F155E">
        <w:rPr>
          <w:rFonts w:ascii="Times New Roman" w:hAnsi="Times New Roman" w:cs="Times New Roman"/>
        </w:rPr>
        <w:t>)</w:t>
      </w:r>
      <w:r w:rsidR="00337AB2" w:rsidRPr="00EF19C2">
        <w:rPr>
          <w:rFonts w:ascii="Times New Roman" w:hAnsi="Times New Roman" w:cs="Times New Roman"/>
        </w:rPr>
        <w:t xml:space="preserve">, </w:t>
      </w:r>
      <w:r w:rsidR="00C71926" w:rsidRPr="00EF19C2">
        <w:rPr>
          <w:rFonts w:ascii="Times New Roman" w:hAnsi="Times New Roman" w:cs="Times New Roman"/>
        </w:rPr>
        <w:t xml:space="preserve">that happened at Paris, France. It implies that </w:t>
      </w:r>
      <w:r w:rsidR="00550E37" w:rsidRPr="00EF19C2">
        <w:rPr>
          <w:rFonts w:ascii="Times New Roman" w:hAnsi="Times New Roman" w:cs="Times New Roman"/>
        </w:rPr>
        <w:t xml:space="preserve">the countries that adopt the </w:t>
      </w:r>
      <w:r w:rsidR="00BB5245" w:rsidRPr="00EF19C2">
        <w:rPr>
          <w:rFonts w:ascii="Times New Roman" w:hAnsi="Times New Roman" w:cs="Times New Roman"/>
        </w:rPr>
        <w:t>agreement should reach a goal of “Increase in the global average temperature to well below 2℃ above the pre-industrial levels</w:t>
      </w:r>
      <w:r w:rsidR="002643CE" w:rsidRPr="00EF19C2">
        <w:rPr>
          <w:rFonts w:ascii="Times New Roman" w:hAnsi="Times New Roman" w:cs="Times New Roman"/>
        </w:rPr>
        <w:t xml:space="preserve"> </w:t>
      </w:r>
      <w:r w:rsidR="00335A25" w:rsidRPr="00EF19C2">
        <w:rPr>
          <w:rFonts w:ascii="Times New Roman" w:hAnsi="Times New Roman" w:cs="Times New Roman"/>
        </w:rPr>
        <w:t>and pursue efforts to limit the temperature increase to 1.5℃ above pre-industrial levels</w:t>
      </w:r>
      <w:r w:rsidR="002643CE" w:rsidRPr="00EF19C2">
        <w:rPr>
          <w:rFonts w:ascii="Times New Roman" w:hAnsi="Times New Roman" w:cs="Times New Roman"/>
        </w:rPr>
        <w:t>.” It was adopted by 195 Parties in the COP21</w:t>
      </w:r>
      <w:r w:rsidR="00B97B87" w:rsidRPr="00EF19C2">
        <w:rPr>
          <w:rFonts w:ascii="Times New Roman" w:hAnsi="Times New Roman" w:cs="Times New Roman"/>
        </w:rPr>
        <w:t>, in December 2015.</w:t>
      </w:r>
    </w:p>
    <w:p w14:paraId="3DD35FCC" w14:textId="6EF4C226" w:rsidR="00A449A0" w:rsidRPr="00EF19C2" w:rsidRDefault="00E91EAD" w:rsidP="00A458BA">
      <w:pPr>
        <w:jc w:val="both"/>
        <w:rPr>
          <w:rFonts w:ascii="Times New Roman" w:hAnsi="Times New Roman" w:cs="Times New Roman"/>
        </w:rPr>
      </w:pPr>
      <w:r w:rsidRPr="00EF19C2">
        <w:rPr>
          <w:rFonts w:ascii="Times New Roman" w:hAnsi="Times New Roman" w:cs="Times New Roman"/>
        </w:rPr>
        <w:t>Due to the seriousness of the climate change, the world leaders have further limited the increase of the overall temperature to 1.5℃ wh</w:t>
      </w:r>
      <w:r w:rsidR="001A652A" w:rsidRPr="00EF19C2">
        <w:rPr>
          <w:rFonts w:ascii="Times New Roman" w:hAnsi="Times New Roman" w:cs="Times New Roman"/>
        </w:rPr>
        <w:t>ile reaching the end of this century. The Paris Agreement has been a</w:t>
      </w:r>
      <w:r w:rsidR="00FD1E9E" w:rsidRPr="00EF19C2">
        <w:rPr>
          <w:rFonts w:ascii="Times New Roman" w:hAnsi="Times New Roman" w:cs="Times New Roman"/>
        </w:rPr>
        <w:t>cted as a breakthrough in the global climate change process, which brings all the nations together to work on the climate change</w:t>
      </w:r>
      <w:r w:rsidR="00D44533" w:rsidRPr="00EF19C2">
        <w:rPr>
          <w:rFonts w:ascii="Times New Roman" w:hAnsi="Times New Roman" w:cs="Times New Roman"/>
        </w:rPr>
        <w:t xml:space="preserve"> and brought the impacts of the Global warming to the light.</w:t>
      </w:r>
    </w:p>
    <w:p w14:paraId="10891137" w14:textId="77777777" w:rsidR="006B64B6" w:rsidRPr="00EF19C2" w:rsidRDefault="006B64B6" w:rsidP="00A458BA">
      <w:pPr>
        <w:jc w:val="both"/>
        <w:rPr>
          <w:rFonts w:ascii="Times New Roman" w:hAnsi="Times New Roman" w:cs="Times New Roman"/>
          <w:b/>
          <w:bCs/>
        </w:rPr>
      </w:pPr>
    </w:p>
    <w:p w14:paraId="7B483920" w14:textId="300149AE" w:rsidR="004A543D" w:rsidRDefault="004A543D" w:rsidP="00A458BA">
      <w:pPr>
        <w:jc w:val="both"/>
        <w:rPr>
          <w:rFonts w:ascii="Times New Roman" w:hAnsi="Times New Roman" w:cs="Times New Roman"/>
          <w:b/>
          <w:bCs/>
        </w:rPr>
      </w:pPr>
      <w:r>
        <w:rPr>
          <w:rFonts w:ascii="Times New Roman" w:hAnsi="Times New Roman" w:cs="Times New Roman"/>
          <w:b/>
          <w:bCs/>
        </w:rPr>
        <w:t>Conclusion</w:t>
      </w:r>
    </w:p>
    <w:p w14:paraId="57E3E9F1" w14:textId="760054B9" w:rsidR="004A543D" w:rsidRPr="00C245A0" w:rsidRDefault="004A543D" w:rsidP="00A458BA">
      <w:pPr>
        <w:jc w:val="both"/>
        <w:rPr>
          <w:rFonts w:ascii="Times New Roman" w:hAnsi="Times New Roman" w:cs="Times New Roman"/>
        </w:rPr>
      </w:pPr>
      <w:r>
        <w:rPr>
          <w:rFonts w:ascii="Times New Roman" w:hAnsi="Times New Roman" w:cs="Times New Roman"/>
        </w:rPr>
        <w:t xml:space="preserve">At the end, the interest towards the Climate Change and Global Warming has been simmering in the background for </w:t>
      </w:r>
      <w:r w:rsidR="00D9353B">
        <w:rPr>
          <w:rFonts w:ascii="Times New Roman" w:hAnsi="Times New Roman" w:cs="Times New Roman"/>
        </w:rPr>
        <w:t xml:space="preserve">longer. But, the recent EU-Emission Trading System and The Paris agreement forced the </w:t>
      </w:r>
      <w:r w:rsidR="004D3712">
        <w:rPr>
          <w:rFonts w:ascii="Times New Roman" w:hAnsi="Times New Roman" w:cs="Times New Roman"/>
        </w:rPr>
        <w:t xml:space="preserve">importance of the energy transition to light, </w:t>
      </w:r>
      <w:r w:rsidR="00033D24">
        <w:rPr>
          <w:rFonts w:ascii="Times New Roman" w:hAnsi="Times New Roman" w:cs="Times New Roman"/>
        </w:rPr>
        <w:t>to</w:t>
      </w:r>
      <w:r w:rsidR="004D3712">
        <w:rPr>
          <w:rFonts w:ascii="Times New Roman" w:hAnsi="Times New Roman" w:cs="Times New Roman"/>
        </w:rPr>
        <w:t xml:space="preserve"> </w:t>
      </w:r>
      <w:r w:rsidR="0060402A">
        <w:rPr>
          <w:rFonts w:ascii="Times New Roman" w:hAnsi="Times New Roman" w:cs="Times New Roman"/>
        </w:rPr>
        <w:t>protect</w:t>
      </w:r>
      <w:r w:rsidR="004D3712">
        <w:rPr>
          <w:rFonts w:ascii="Times New Roman" w:hAnsi="Times New Roman" w:cs="Times New Roman"/>
        </w:rPr>
        <w:t xml:space="preserve"> the overall environment </w:t>
      </w:r>
      <w:r w:rsidR="0060402A">
        <w:rPr>
          <w:rFonts w:ascii="Times New Roman" w:hAnsi="Times New Roman" w:cs="Times New Roman"/>
        </w:rPr>
        <w:t xml:space="preserve">from drastic temperature changes. </w:t>
      </w:r>
      <w:r w:rsidR="00033D24">
        <w:rPr>
          <w:rFonts w:ascii="Times New Roman" w:hAnsi="Times New Roman" w:cs="Times New Roman"/>
        </w:rPr>
        <w:t xml:space="preserve">Following that, </w:t>
      </w:r>
      <w:r w:rsidR="00D35D88">
        <w:rPr>
          <w:rFonts w:ascii="Times New Roman" w:hAnsi="Times New Roman" w:cs="Times New Roman"/>
        </w:rPr>
        <w:t xml:space="preserve">The IPCC released a special report on the effects of global warming </w:t>
      </w:r>
      <w:r w:rsidR="0090760D">
        <w:rPr>
          <w:rFonts w:ascii="Times New Roman" w:hAnsi="Times New Roman" w:cs="Times New Roman"/>
        </w:rPr>
        <w:t>of above 1.5℃ above the pre-industrial levels</w:t>
      </w:r>
      <w:r w:rsidR="00D67606">
        <w:rPr>
          <w:rFonts w:ascii="Times New Roman" w:hAnsi="Times New Roman" w:cs="Times New Roman"/>
        </w:rPr>
        <w:t xml:space="preserve"> which stated that </w:t>
      </w:r>
      <w:r w:rsidR="002075F7">
        <w:rPr>
          <w:rFonts w:ascii="Times New Roman" w:hAnsi="Times New Roman" w:cs="Times New Roman"/>
        </w:rPr>
        <w:t xml:space="preserve">even with the pledges of </w:t>
      </w:r>
      <w:r w:rsidR="00794F69">
        <w:rPr>
          <w:rFonts w:ascii="Times New Roman" w:hAnsi="Times New Roman" w:cs="Times New Roman"/>
        </w:rPr>
        <w:t>Paris</w:t>
      </w:r>
      <w:r w:rsidR="002075F7">
        <w:rPr>
          <w:rFonts w:ascii="Times New Roman" w:hAnsi="Times New Roman" w:cs="Times New Roman"/>
        </w:rPr>
        <w:t xml:space="preserve"> agreement are supplemented with challenging increases</w:t>
      </w:r>
      <w:r w:rsidR="00C245A0">
        <w:rPr>
          <w:rFonts w:ascii="Times New Roman" w:hAnsi="Times New Roman" w:cs="Times New Roman"/>
        </w:rPr>
        <w:t xml:space="preserve"> in the scale, the action would need to achieve net zero CO</w:t>
      </w:r>
      <w:r w:rsidR="00C245A0">
        <w:rPr>
          <w:rFonts w:ascii="Times New Roman" w:hAnsi="Times New Roman" w:cs="Times New Roman"/>
          <w:vertAlign w:val="subscript"/>
        </w:rPr>
        <w:t>2 emissions</w:t>
      </w:r>
      <w:r w:rsidR="00C245A0">
        <w:rPr>
          <w:rFonts w:ascii="Times New Roman" w:hAnsi="Times New Roman" w:cs="Times New Roman"/>
        </w:rPr>
        <w:t xml:space="preserve"> in less than 15 years</w:t>
      </w:r>
      <w:r w:rsidR="00221379">
        <w:rPr>
          <w:rFonts w:ascii="Times New Roman" w:hAnsi="Times New Roman" w:cs="Times New Roman"/>
        </w:rPr>
        <w:t xml:space="preserve">. </w:t>
      </w:r>
      <w:r w:rsidR="00794F69">
        <w:rPr>
          <w:rFonts w:ascii="Times New Roman" w:hAnsi="Times New Roman" w:cs="Times New Roman"/>
        </w:rPr>
        <w:t>Despite</w:t>
      </w:r>
      <w:r w:rsidR="00221379">
        <w:rPr>
          <w:rFonts w:ascii="Times New Roman" w:hAnsi="Times New Roman" w:cs="Times New Roman"/>
        </w:rPr>
        <w:t xml:space="preserve"> that, the temperatures still required to remain below the 1.5℃ threshold</w:t>
      </w:r>
      <w:r w:rsidR="00411BFD">
        <w:rPr>
          <w:rFonts w:ascii="Times New Roman" w:hAnsi="Times New Roman" w:cs="Times New Roman"/>
        </w:rPr>
        <w:t xml:space="preserve">. It reinforces what we </w:t>
      </w:r>
      <w:r w:rsidR="00794F69">
        <w:rPr>
          <w:rFonts w:ascii="Times New Roman" w:hAnsi="Times New Roman" w:cs="Times New Roman"/>
        </w:rPr>
        <w:t>already know</w:t>
      </w:r>
      <w:r w:rsidR="00411BFD">
        <w:rPr>
          <w:rFonts w:ascii="Times New Roman" w:hAnsi="Times New Roman" w:cs="Times New Roman"/>
        </w:rPr>
        <w:t xml:space="preserve"> that the </w:t>
      </w:r>
      <w:r w:rsidR="009D435A">
        <w:rPr>
          <w:rFonts w:ascii="Times New Roman" w:hAnsi="Times New Roman" w:cs="Times New Roman"/>
        </w:rPr>
        <w:t xml:space="preserve">actions towards the climate change or transition to sustainable fuels need to be prioritized to </w:t>
      </w:r>
      <w:r w:rsidR="00F75F05">
        <w:rPr>
          <w:rFonts w:ascii="Times New Roman" w:hAnsi="Times New Roman" w:cs="Times New Roman"/>
        </w:rPr>
        <w:t xml:space="preserve">achieve emission </w:t>
      </w:r>
      <w:r w:rsidR="00794F69">
        <w:rPr>
          <w:rFonts w:ascii="Times New Roman" w:hAnsi="Times New Roman" w:cs="Times New Roman"/>
        </w:rPr>
        <w:t>reduction by the end of 2030.</w:t>
      </w:r>
      <w:r w:rsidR="004469B2">
        <w:rPr>
          <w:rFonts w:ascii="Times New Roman" w:hAnsi="Times New Roman" w:cs="Times New Roman"/>
        </w:rPr>
        <w:fldChar w:fldCharType="begin"/>
      </w:r>
      <w:r w:rsidR="005265D9">
        <w:rPr>
          <w:rFonts w:ascii="Times New Roman" w:hAnsi="Times New Roman" w:cs="Times New Roman"/>
        </w:rPr>
        <w:instrText xml:space="preserve"> ADDIN ZOTERO_ITEM CSL_CITATION {"citationID":"ZymqkQLe","properties":{"formattedCitation":"[7]","plainCitation":"[7]","noteIndex":0},"citationItems":[{"id":579,"uris":["http://zotero.org/users/13646356/items/IKYBFBGA"],"itemData":{"id":579,"type":"report","publisher":"The Intergovernmental Panel of Climate Change","title":"Global Warming of 1.5 degree celsius an IPCC special report","URL":"https://www.ipcc.ch/sr15/","issued":{"date-parts":[["2020"]]}}}],"schema":"https://github.com/citation-style-language/schema/raw/master/csl-citation.json"} </w:instrText>
      </w:r>
      <w:r w:rsidR="004469B2">
        <w:rPr>
          <w:rFonts w:ascii="Times New Roman" w:hAnsi="Times New Roman" w:cs="Times New Roman"/>
        </w:rPr>
        <w:fldChar w:fldCharType="separate"/>
      </w:r>
      <w:r w:rsidR="005265D9" w:rsidRPr="005265D9">
        <w:rPr>
          <w:rFonts w:ascii="Times New Roman" w:hAnsi="Times New Roman" w:cs="Times New Roman"/>
        </w:rPr>
        <w:t>[7]</w:t>
      </w:r>
      <w:r w:rsidR="004469B2">
        <w:rPr>
          <w:rFonts w:ascii="Times New Roman" w:hAnsi="Times New Roman" w:cs="Times New Roman"/>
        </w:rPr>
        <w:fldChar w:fldCharType="end"/>
      </w:r>
    </w:p>
    <w:p w14:paraId="0D9067FA" w14:textId="77777777" w:rsidR="004D70BB" w:rsidRPr="00EF19C2" w:rsidRDefault="004D70BB">
      <w:pPr>
        <w:rPr>
          <w:rFonts w:ascii="Times New Roman" w:hAnsi="Times New Roman" w:cs="Times New Roman"/>
          <w:b/>
          <w:bCs/>
        </w:rPr>
      </w:pPr>
      <w:r w:rsidRPr="00EF19C2">
        <w:rPr>
          <w:rFonts w:ascii="Times New Roman" w:hAnsi="Times New Roman" w:cs="Times New Roman"/>
          <w:b/>
          <w:bCs/>
        </w:rPr>
        <w:br w:type="page"/>
      </w:r>
    </w:p>
    <w:p w14:paraId="596F1834" w14:textId="609592EA" w:rsidR="004D70BB" w:rsidRPr="004469B2" w:rsidRDefault="004469B2" w:rsidP="004D70BB">
      <w:pPr>
        <w:pStyle w:val="Heading2"/>
        <w:rPr>
          <w:rFonts w:ascii="Times New Roman" w:hAnsi="Times New Roman" w:cs="Times New Roman"/>
        </w:rPr>
      </w:pPr>
      <w:r w:rsidRPr="004469B2">
        <w:rPr>
          <w:rFonts w:ascii="Times New Roman" w:hAnsi="Times New Roman" w:cs="Times New Roman"/>
        </w:rPr>
        <w:lastRenderedPageBreak/>
        <w:t>References</w:t>
      </w:r>
    </w:p>
    <w:p w14:paraId="7C2DF7CE" w14:textId="77777777" w:rsidR="003800EF" w:rsidRPr="003800EF" w:rsidRDefault="00B13CEF" w:rsidP="003800EF">
      <w:pPr>
        <w:pStyle w:val="Bibliography"/>
        <w:rPr>
          <w:rFonts w:ascii="Times New Roman" w:hAnsi="Times New Roman" w:cs="Times New Roman"/>
        </w:rPr>
      </w:pPr>
      <w:r w:rsidRPr="004469B2">
        <w:fldChar w:fldCharType="begin"/>
      </w:r>
      <w:r w:rsidR="003800EF">
        <w:instrText xml:space="preserve"> ADDIN ZOTERO_BIBL {"uncited":[],"omitted":[],"custom":[]} CSL_BIBLIOGRAPHY </w:instrText>
      </w:r>
      <w:r w:rsidRPr="004469B2">
        <w:fldChar w:fldCharType="separate"/>
      </w:r>
      <w:r w:rsidR="003800EF" w:rsidRPr="003800EF">
        <w:rPr>
          <w:rFonts w:ascii="Times New Roman" w:hAnsi="Times New Roman" w:cs="Times New Roman"/>
        </w:rPr>
        <w:t>[1]</w:t>
      </w:r>
      <w:r w:rsidR="003800EF" w:rsidRPr="003800EF">
        <w:rPr>
          <w:rFonts w:ascii="Times New Roman" w:hAnsi="Times New Roman" w:cs="Times New Roman"/>
        </w:rPr>
        <w:tab/>
        <w:t xml:space="preserve">B. D. Solomon and K. Krishna, ‘The coming sustainable energy transition: History, strategies, and outlook’, </w:t>
      </w:r>
      <w:r w:rsidR="003800EF" w:rsidRPr="003800EF">
        <w:rPr>
          <w:rFonts w:ascii="Times New Roman" w:hAnsi="Times New Roman" w:cs="Times New Roman"/>
          <w:i/>
          <w:iCs/>
        </w:rPr>
        <w:t>Energy Policy</w:t>
      </w:r>
      <w:r w:rsidR="003800EF" w:rsidRPr="003800EF">
        <w:rPr>
          <w:rFonts w:ascii="Times New Roman" w:hAnsi="Times New Roman" w:cs="Times New Roman"/>
        </w:rPr>
        <w:t>, vol. 39, no. 11, pp. 7422–7431, 2011, doi: https://doi.org/10.1016/j.enpol.2011.09.009.</w:t>
      </w:r>
    </w:p>
    <w:p w14:paraId="0A888510" w14:textId="77777777" w:rsidR="003800EF" w:rsidRPr="003800EF" w:rsidRDefault="003800EF" w:rsidP="003800EF">
      <w:pPr>
        <w:pStyle w:val="Bibliography"/>
        <w:rPr>
          <w:rFonts w:ascii="Times New Roman" w:hAnsi="Times New Roman" w:cs="Times New Roman"/>
        </w:rPr>
      </w:pPr>
      <w:r w:rsidRPr="003800EF">
        <w:rPr>
          <w:rFonts w:ascii="Times New Roman" w:hAnsi="Times New Roman" w:cs="Times New Roman"/>
        </w:rPr>
        <w:t>[2]</w:t>
      </w:r>
      <w:r w:rsidRPr="003800EF">
        <w:rPr>
          <w:rFonts w:ascii="Times New Roman" w:hAnsi="Times New Roman" w:cs="Times New Roman"/>
        </w:rPr>
        <w:tab/>
        <w:t xml:space="preserve">G. Leach, ‘The energy transition’, </w:t>
      </w:r>
      <w:r w:rsidRPr="003800EF">
        <w:rPr>
          <w:rFonts w:ascii="Times New Roman" w:hAnsi="Times New Roman" w:cs="Times New Roman"/>
          <w:i/>
          <w:iCs/>
        </w:rPr>
        <w:t>Energy Policy</w:t>
      </w:r>
      <w:r w:rsidRPr="003800EF">
        <w:rPr>
          <w:rFonts w:ascii="Times New Roman" w:hAnsi="Times New Roman" w:cs="Times New Roman"/>
        </w:rPr>
        <w:t>, vol. 20, no. 2, pp. 116–123, 1992, doi: https://doi.org/10.1016/0301-4215(92)90105-B.</w:t>
      </w:r>
    </w:p>
    <w:p w14:paraId="32656798" w14:textId="77777777" w:rsidR="003800EF" w:rsidRPr="003800EF" w:rsidRDefault="003800EF" w:rsidP="003800EF">
      <w:pPr>
        <w:pStyle w:val="Bibliography"/>
        <w:rPr>
          <w:rFonts w:ascii="Times New Roman" w:hAnsi="Times New Roman" w:cs="Times New Roman"/>
        </w:rPr>
      </w:pPr>
      <w:r w:rsidRPr="003800EF">
        <w:rPr>
          <w:rFonts w:ascii="Times New Roman" w:hAnsi="Times New Roman" w:cs="Times New Roman"/>
        </w:rPr>
        <w:t>[3]</w:t>
      </w:r>
      <w:r w:rsidRPr="003800EF">
        <w:rPr>
          <w:rFonts w:ascii="Times New Roman" w:hAnsi="Times New Roman" w:cs="Times New Roman"/>
        </w:rPr>
        <w:tab/>
        <w:t xml:space="preserve">A. Kalair, N. Abas, M. S. Saleem, A. R. Kalair, and N. Khan, ‘Role of energy storage systems in energy transition from fossil fuels to renewables’, </w:t>
      </w:r>
      <w:r w:rsidRPr="003800EF">
        <w:rPr>
          <w:rFonts w:ascii="Times New Roman" w:hAnsi="Times New Roman" w:cs="Times New Roman"/>
          <w:i/>
          <w:iCs/>
        </w:rPr>
        <w:t>Energy Storage</w:t>
      </w:r>
      <w:r w:rsidRPr="003800EF">
        <w:rPr>
          <w:rFonts w:ascii="Times New Roman" w:hAnsi="Times New Roman" w:cs="Times New Roman"/>
        </w:rPr>
        <w:t>, vol. 3, no. 1, p. e135, 2021, doi: https://doi.org/10.1002/est2.135.</w:t>
      </w:r>
    </w:p>
    <w:p w14:paraId="7743EF35" w14:textId="77777777" w:rsidR="003800EF" w:rsidRPr="003800EF" w:rsidRDefault="003800EF" w:rsidP="003800EF">
      <w:pPr>
        <w:pStyle w:val="Bibliography"/>
        <w:rPr>
          <w:rFonts w:ascii="Times New Roman" w:hAnsi="Times New Roman" w:cs="Times New Roman"/>
        </w:rPr>
      </w:pPr>
      <w:r w:rsidRPr="003800EF">
        <w:rPr>
          <w:rFonts w:ascii="Times New Roman" w:hAnsi="Times New Roman" w:cs="Times New Roman"/>
        </w:rPr>
        <w:t>[4]</w:t>
      </w:r>
      <w:r w:rsidRPr="003800EF">
        <w:rPr>
          <w:rFonts w:ascii="Times New Roman" w:hAnsi="Times New Roman" w:cs="Times New Roman"/>
        </w:rPr>
        <w:tab/>
        <w:t>‘IPCC Factsheet- What is the IPCC?’ Intergovernmental Panel on Climate Change, July 2021. [Online]. Available: https://www.ipcc.ch/site/assets/uploads/2021/07/AR6_FS_What_is_IPCC.pdf</w:t>
      </w:r>
    </w:p>
    <w:p w14:paraId="043CBEEA" w14:textId="77777777" w:rsidR="003800EF" w:rsidRPr="003800EF" w:rsidRDefault="003800EF" w:rsidP="003800EF">
      <w:pPr>
        <w:pStyle w:val="Bibliography"/>
        <w:rPr>
          <w:rFonts w:ascii="Times New Roman" w:hAnsi="Times New Roman" w:cs="Times New Roman"/>
        </w:rPr>
      </w:pPr>
      <w:r w:rsidRPr="003800EF">
        <w:rPr>
          <w:rFonts w:ascii="Times New Roman" w:hAnsi="Times New Roman" w:cs="Times New Roman"/>
        </w:rPr>
        <w:t>[5]</w:t>
      </w:r>
      <w:r w:rsidRPr="003800EF">
        <w:rPr>
          <w:rFonts w:ascii="Times New Roman" w:hAnsi="Times New Roman" w:cs="Times New Roman"/>
        </w:rPr>
        <w:tab/>
        <w:t xml:space="preserve">C. Böhringer, ‘The Kyoto Protocol: A Review and Perspectives’, </w:t>
      </w:r>
      <w:r w:rsidRPr="003800EF">
        <w:rPr>
          <w:rFonts w:ascii="Times New Roman" w:hAnsi="Times New Roman" w:cs="Times New Roman"/>
          <w:i/>
          <w:iCs/>
        </w:rPr>
        <w:t>Oxf. Rev. Econ. Policy</w:t>
      </w:r>
      <w:r w:rsidRPr="003800EF">
        <w:rPr>
          <w:rFonts w:ascii="Times New Roman" w:hAnsi="Times New Roman" w:cs="Times New Roman"/>
        </w:rPr>
        <w:t>, vol. 19, no. 3, pp. 451–466, Sept. 2003, doi: 10.1093/oxrep/19.3.451.</w:t>
      </w:r>
    </w:p>
    <w:p w14:paraId="2974D7D3" w14:textId="77777777" w:rsidR="003800EF" w:rsidRPr="003800EF" w:rsidRDefault="003800EF" w:rsidP="003800EF">
      <w:pPr>
        <w:pStyle w:val="Bibliography"/>
        <w:rPr>
          <w:rFonts w:ascii="Times New Roman" w:hAnsi="Times New Roman" w:cs="Times New Roman"/>
        </w:rPr>
      </w:pPr>
      <w:r w:rsidRPr="003800EF">
        <w:rPr>
          <w:rFonts w:ascii="Times New Roman" w:hAnsi="Times New Roman" w:cs="Times New Roman"/>
        </w:rPr>
        <w:t>[6]</w:t>
      </w:r>
      <w:r w:rsidRPr="003800EF">
        <w:rPr>
          <w:rFonts w:ascii="Times New Roman" w:hAnsi="Times New Roman" w:cs="Times New Roman"/>
        </w:rPr>
        <w:tab/>
        <w:t>‘Kyoto Protocol’. [Online]. Available: https://www.statistiques.developpement-durable.gouv.fr/sites/default/files/2024-11/english_publication_ENG5%20REPERES%202010%20ENG-Partie%205.pdf</w:t>
      </w:r>
    </w:p>
    <w:p w14:paraId="028871B4" w14:textId="77777777" w:rsidR="003800EF" w:rsidRPr="003800EF" w:rsidRDefault="003800EF" w:rsidP="003800EF">
      <w:pPr>
        <w:pStyle w:val="Bibliography"/>
        <w:rPr>
          <w:rFonts w:ascii="Times New Roman" w:hAnsi="Times New Roman" w:cs="Times New Roman"/>
        </w:rPr>
      </w:pPr>
      <w:r w:rsidRPr="003800EF">
        <w:rPr>
          <w:rFonts w:ascii="Times New Roman" w:hAnsi="Times New Roman" w:cs="Times New Roman"/>
        </w:rPr>
        <w:t>[7]</w:t>
      </w:r>
      <w:r w:rsidRPr="003800EF">
        <w:rPr>
          <w:rFonts w:ascii="Times New Roman" w:hAnsi="Times New Roman" w:cs="Times New Roman"/>
        </w:rPr>
        <w:tab/>
        <w:t>‘Global Warming of 1.5 degree celsius an IPCC special report’, The Intergovernmental Panel of Climate Change, 2020. [Online]. Available: https://www.ipcc.ch/sr15/</w:t>
      </w:r>
    </w:p>
    <w:p w14:paraId="742D54AB" w14:textId="62E9D41D" w:rsidR="005C4C25" w:rsidRPr="004469B2" w:rsidRDefault="00B13CEF" w:rsidP="004D70BB">
      <w:pPr>
        <w:pStyle w:val="Heading2"/>
        <w:rPr>
          <w:rFonts w:ascii="Times New Roman" w:hAnsi="Times New Roman" w:cs="Times New Roman"/>
          <w:sz w:val="22"/>
          <w:szCs w:val="22"/>
        </w:rPr>
      </w:pPr>
      <w:r w:rsidRPr="004469B2">
        <w:rPr>
          <w:rFonts w:ascii="Times New Roman" w:hAnsi="Times New Roman" w:cs="Times New Roman"/>
          <w:sz w:val="22"/>
          <w:szCs w:val="22"/>
        </w:rPr>
        <w:fldChar w:fldCharType="end"/>
      </w:r>
      <w:r w:rsidR="005C4C25" w:rsidRPr="004469B2">
        <w:rPr>
          <w:rFonts w:ascii="Times New Roman" w:hAnsi="Times New Roman" w:cs="Times New Roman"/>
          <w:sz w:val="22"/>
          <w:szCs w:val="22"/>
        </w:rPr>
        <w:br w:type="page"/>
      </w:r>
    </w:p>
    <w:p w14:paraId="1FA13DA9" w14:textId="31BF2F72" w:rsidR="00162ED8" w:rsidRPr="00EF19C2" w:rsidRDefault="00162ED8" w:rsidP="00A458BA">
      <w:pPr>
        <w:jc w:val="both"/>
        <w:rPr>
          <w:rFonts w:ascii="Times New Roman" w:hAnsi="Times New Roman" w:cs="Times New Roman"/>
          <w:b/>
          <w:bCs/>
        </w:rPr>
      </w:pPr>
    </w:p>
    <w:sectPr w:rsidR="00162ED8" w:rsidRPr="00EF1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f2dpp2fesez8ezra8xd9tjptpp90fravvs&quot;&gt;My EndNote Library&lt;record-ids&gt;&lt;item&gt;1&lt;/item&gt;&lt;item&gt;2&lt;/item&gt;&lt;item&gt;3&lt;/item&gt;&lt;item&gt;6&lt;/item&gt;&lt;item&gt;8&lt;/item&gt;&lt;item&gt;9&lt;/item&gt;&lt;/record-ids&gt;&lt;/item&gt;&lt;/Libraries&gt;"/>
  </w:docVars>
  <w:rsids>
    <w:rsidRoot w:val="000D4AAA"/>
    <w:rsid w:val="00017D0A"/>
    <w:rsid w:val="00026556"/>
    <w:rsid w:val="00033D24"/>
    <w:rsid w:val="00053679"/>
    <w:rsid w:val="000A3C19"/>
    <w:rsid w:val="000C1A04"/>
    <w:rsid w:val="000D4AAA"/>
    <w:rsid w:val="000E0FFF"/>
    <w:rsid w:val="000F690E"/>
    <w:rsid w:val="00134342"/>
    <w:rsid w:val="001550E7"/>
    <w:rsid w:val="00162ED8"/>
    <w:rsid w:val="00175E5A"/>
    <w:rsid w:val="00186897"/>
    <w:rsid w:val="001901FE"/>
    <w:rsid w:val="001A5A8E"/>
    <w:rsid w:val="001A652A"/>
    <w:rsid w:val="001C298A"/>
    <w:rsid w:val="001D50B3"/>
    <w:rsid w:val="001F6B6F"/>
    <w:rsid w:val="002075F7"/>
    <w:rsid w:val="00216ED9"/>
    <w:rsid w:val="00221379"/>
    <w:rsid w:val="00236C65"/>
    <w:rsid w:val="00240494"/>
    <w:rsid w:val="002430A6"/>
    <w:rsid w:val="00245CF9"/>
    <w:rsid w:val="002643CE"/>
    <w:rsid w:val="002647BC"/>
    <w:rsid w:val="00272A27"/>
    <w:rsid w:val="002A6FA0"/>
    <w:rsid w:val="002B5446"/>
    <w:rsid w:val="002D0748"/>
    <w:rsid w:val="002E708E"/>
    <w:rsid w:val="003009DC"/>
    <w:rsid w:val="00326DAE"/>
    <w:rsid w:val="00335A25"/>
    <w:rsid w:val="00337AB2"/>
    <w:rsid w:val="003800EF"/>
    <w:rsid w:val="003804ED"/>
    <w:rsid w:val="0039344B"/>
    <w:rsid w:val="00395E05"/>
    <w:rsid w:val="00396483"/>
    <w:rsid w:val="00397F30"/>
    <w:rsid w:val="003A35B0"/>
    <w:rsid w:val="003B657E"/>
    <w:rsid w:val="003C62D4"/>
    <w:rsid w:val="003C6FAE"/>
    <w:rsid w:val="003F0841"/>
    <w:rsid w:val="003F43DD"/>
    <w:rsid w:val="00411BFD"/>
    <w:rsid w:val="00437F38"/>
    <w:rsid w:val="004469B2"/>
    <w:rsid w:val="004522CD"/>
    <w:rsid w:val="004A1E17"/>
    <w:rsid w:val="004A543D"/>
    <w:rsid w:val="004B0A4C"/>
    <w:rsid w:val="004C5375"/>
    <w:rsid w:val="004D3712"/>
    <w:rsid w:val="004D70BB"/>
    <w:rsid w:val="004F19F3"/>
    <w:rsid w:val="004F7A2C"/>
    <w:rsid w:val="0052515E"/>
    <w:rsid w:val="005265D9"/>
    <w:rsid w:val="00527000"/>
    <w:rsid w:val="00535D5B"/>
    <w:rsid w:val="00537F17"/>
    <w:rsid w:val="0054250F"/>
    <w:rsid w:val="00545305"/>
    <w:rsid w:val="00550E37"/>
    <w:rsid w:val="00574A69"/>
    <w:rsid w:val="00574C21"/>
    <w:rsid w:val="005A1A96"/>
    <w:rsid w:val="005A3E3E"/>
    <w:rsid w:val="005B4AB5"/>
    <w:rsid w:val="005B69C1"/>
    <w:rsid w:val="005C4C25"/>
    <w:rsid w:val="005C6CCE"/>
    <w:rsid w:val="005E4DDD"/>
    <w:rsid w:val="00603555"/>
    <w:rsid w:val="0060402A"/>
    <w:rsid w:val="00627688"/>
    <w:rsid w:val="00644E00"/>
    <w:rsid w:val="00660052"/>
    <w:rsid w:val="00660C66"/>
    <w:rsid w:val="00685146"/>
    <w:rsid w:val="006B64B6"/>
    <w:rsid w:val="006C114F"/>
    <w:rsid w:val="006C2C69"/>
    <w:rsid w:val="006C66D9"/>
    <w:rsid w:val="006E2FBF"/>
    <w:rsid w:val="006F2ADF"/>
    <w:rsid w:val="00704308"/>
    <w:rsid w:val="00730727"/>
    <w:rsid w:val="00736E3D"/>
    <w:rsid w:val="00761F0F"/>
    <w:rsid w:val="00767CC6"/>
    <w:rsid w:val="00770E9C"/>
    <w:rsid w:val="007831A2"/>
    <w:rsid w:val="00794F69"/>
    <w:rsid w:val="007F295C"/>
    <w:rsid w:val="00817B97"/>
    <w:rsid w:val="00874CEB"/>
    <w:rsid w:val="008855BA"/>
    <w:rsid w:val="008A53F6"/>
    <w:rsid w:val="008C2CD4"/>
    <w:rsid w:val="008C38A7"/>
    <w:rsid w:val="008C771E"/>
    <w:rsid w:val="00903A68"/>
    <w:rsid w:val="0090760D"/>
    <w:rsid w:val="009163C8"/>
    <w:rsid w:val="00917FEF"/>
    <w:rsid w:val="0093071A"/>
    <w:rsid w:val="00934A4F"/>
    <w:rsid w:val="009711A2"/>
    <w:rsid w:val="00995AF0"/>
    <w:rsid w:val="009A3A79"/>
    <w:rsid w:val="009A4CE9"/>
    <w:rsid w:val="009C02C5"/>
    <w:rsid w:val="009C7480"/>
    <w:rsid w:val="009D2E45"/>
    <w:rsid w:val="009D435A"/>
    <w:rsid w:val="009F155E"/>
    <w:rsid w:val="00A11937"/>
    <w:rsid w:val="00A22589"/>
    <w:rsid w:val="00A449A0"/>
    <w:rsid w:val="00A458BA"/>
    <w:rsid w:val="00A71810"/>
    <w:rsid w:val="00A97007"/>
    <w:rsid w:val="00A97C90"/>
    <w:rsid w:val="00AA0CF5"/>
    <w:rsid w:val="00AB5A44"/>
    <w:rsid w:val="00AC5B3A"/>
    <w:rsid w:val="00AD16C3"/>
    <w:rsid w:val="00AF24AA"/>
    <w:rsid w:val="00B067F8"/>
    <w:rsid w:val="00B13CEF"/>
    <w:rsid w:val="00B1556F"/>
    <w:rsid w:val="00B23172"/>
    <w:rsid w:val="00B34912"/>
    <w:rsid w:val="00B45B71"/>
    <w:rsid w:val="00B662DD"/>
    <w:rsid w:val="00B80944"/>
    <w:rsid w:val="00B812C7"/>
    <w:rsid w:val="00B97B87"/>
    <w:rsid w:val="00BA3C82"/>
    <w:rsid w:val="00BA6D42"/>
    <w:rsid w:val="00BA7878"/>
    <w:rsid w:val="00BB5245"/>
    <w:rsid w:val="00BD5072"/>
    <w:rsid w:val="00BE7CD6"/>
    <w:rsid w:val="00C245A0"/>
    <w:rsid w:val="00C32E83"/>
    <w:rsid w:val="00C43D23"/>
    <w:rsid w:val="00C63048"/>
    <w:rsid w:val="00C71926"/>
    <w:rsid w:val="00CA7DC5"/>
    <w:rsid w:val="00CD7028"/>
    <w:rsid w:val="00CF1B35"/>
    <w:rsid w:val="00D107A0"/>
    <w:rsid w:val="00D32EE5"/>
    <w:rsid w:val="00D35D88"/>
    <w:rsid w:val="00D415F5"/>
    <w:rsid w:val="00D44533"/>
    <w:rsid w:val="00D601EC"/>
    <w:rsid w:val="00D67606"/>
    <w:rsid w:val="00D9353B"/>
    <w:rsid w:val="00D968FA"/>
    <w:rsid w:val="00DB10E6"/>
    <w:rsid w:val="00DE0742"/>
    <w:rsid w:val="00DE3407"/>
    <w:rsid w:val="00DF5DD4"/>
    <w:rsid w:val="00DF684D"/>
    <w:rsid w:val="00E004CA"/>
    <w:rsid w:val="00E02F53"/>
    <w:rsid w:val="00E146AE"/>
    <w:rsid w:val="00E268B8"/>
    <w:rsid w:val="00E419A2"/>
    <w:rsid w:val="00E41FE6"/>
    <w:rsid w:val="00E5107A"/>
    <w:rsid w:val="00E64C84"/>
    <w:rsid w:val="00E84C40"/>
    <w:rsid w:val="00E91EAD"/>
    <w:rsid w:val="00E945C8"/>
    <w:rsid w:val="00EA2442"/>
    <w:rsid w:val="00EA7FD9"/>
    <w:rsid w:val="00EC35FE"/>
    <w:rsid w:val="00ED076A"/>
    <w:rsid w:val="00EE7838"/>
    <w:rsid w:val="00EF19C2"/>
    <w:rsid w:val="00F0383D"/>
    <w:rsid w:val="00F16727"/>
    <w:rsid w:val="00F36886"/>
    <w:rsid w:val="00F44B63"/>
    <w:rsid w:val="00F4508E"/>
    <w:rsid w:val="00F532DB"/>
    <w:rsid w:val="00F626DB"/>
    <w:rsid w:val="00F6357C"/>
    <w:rsid w:val="00F75F05"/>
    <w:rsid w:val="00F82C96"/>
    <w:rsid w:val="00FA74F5"/>
    <w:rsid w:val="00FB677D"/>
    <w:rsid w:val="00FC2396"/>
    <w:rsid w:val="00FD1E9E"/>
    <w:rsid w:val="00FE2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EAF9D"/>
  <w15:chartTrackingRefBased/>
  <w15:docId w15:val="{809937F9-5D04-4D53-9FD9-FFCF1E6D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C8"/>
    <w:rPr>
      <w:lang w:val="en-IN"/>
    </w:rPr>
  </w:style>
  <w:style w:type="paragraph" w:styleId="Heading1">
    <w:name w:val="heading 1"/>
    <w:basedOn w:val="Normal"/>
    <w:next w:val="Normal"/>
    <w:link w:val="Heading1Char"/>
    <w:uiPriority w:val="9"/>
    <w:qFormat/>
    <w:rsid w:val="000D4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4AAA"/>
    <w:rPr>
      <w:color w:val="0563C1" w:themeColor="hyperlink"/>
      <w:u w:val="single"/>
    </w:rPr>
  </w:style>
  <w:style w:type="character" w:styleId="FollowedHyperlink">
    <w:name w:val="FollowedHyperlink"/>
    <w:basedOn w:val="DefaultParagraphFont"/>
    <w:uiPriority w:val="99"/>
    <w:semiHidden/>
    <w:unhideWhenUsed/>
    <w:rsid w:val="000D4AAA"/>
    <w:rPr>
      <w:color w:val="954F72" w:themeColor="followedHyperlink"/>
      <w:u w:val="single"/>
    </w:rPr>
  </w:style>
  <w:style w:type="paragraph" w:styleId="Bibliography">
    <w:name w:val="Bibliography"/>
    <w:basedOn w:val="Normal"/>
    <w:next w:val="Normal"/>
    <w:uiPriority w:val="37"/>
    <w:unhideWhenUsed/>
    <w:rsid w:val="002D0748"/>
    <w:pPr>
      <w:tabs>
        <w:tab w:val="left" w:pos="384"/>
      </w:tabs>
      <w:spacing w:after="0" w:line="240" w:lineRule="auto"/>
      <w:ind w:left="384" w:hanging="384"/>
    </w:pPr>
  </w:style>
  <w:style w:type="character" w:customStyle="1" w:styleId="UnresolvedMention1">
    <w:name w:val="Unresolved Mention1"/>
    <w:basedOn w:val="DefaultParagraphFont"/>
    <w:uiPriority w:val="99"/>
    <w:semiHidden/>
    <w:unhideWhenUsed/>
    <w:rsid w:val="008C38A7"/>
    <w:rPr>
      <w:color w:val="605E5C"/>
      <w:shd w:val="clear" w:color="auto" w:fill="E1DFDD"/>
    </w:rPr>
  </w:style>
  <w:style w:type="paragraph" w:customStyle="1" w:styleId="EndNoteBibliographyTitle">
    <w:name w:val="EndNote Bibliography Title"/>
    <w:basedOn w:val="Normal"/>
    <w:link w:val="EndNoteBibliographyTitleChar"/>
    <w:rsid w:val="0060355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03555"/>
    <w:rPr>
      <w:rFonts w:ascii="Calibri" w:hAnsi="Calibri" w:cs="Calibri"/>
      <w:noProof/>
      <w:lang w:val="en-US"/>
    </w:rPr>
  </w:style>
  <w:style w:type="paragraph" w:customStyle="1" w:styleId="EndNoteBibliography">
    <w:name w:val="EndNote Bibliography"/>
    <w:basedOn w:val="Normal"/>
    <w:link w:val="EndNoteBibliographyChar"/>
    <w:rsid w:val="0060355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603555"/>
    <w:rPr>
      <w:rFonts w:ascii="Calibri" w:hAnsi="Calibri" w:cs="Calibri"/>
      <w:noProof/>
      <w:lang w:val="en-US"/>
    </w:rPr>
  </w:style>
  <w:style w:type="character" w:styleId="PlaceholderText">
    <w:name w:val="Placeholder Text"/>
    <w:basedOn w:val="DefaultParagraphFont"/>
    <w:uiPriority w:val="99"/>
    <w:semiHidden/>
    <w:rsid w:val="00216ED9"/>
    <w:rPr>
      <w:color w:val="666666"/>
    </w:rPr>
  </w:style>
  <w:style w:type="character" w:customStyle="1" w:styleId="Heading2Char">
    <w:name w:val="Heading 2 Char"/>
    <w:basedOn w:val="DefaultParagraphFont"/>
    <w:link w:val="Heading2"/>
    <w:uiPriority w:val="9"/>
    <w:rsid w:val="004D70B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24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1117">
      <w:bodyDiv w:val="1"/>
      <w:marLeft w:val="0"/>
      <w:marRight w:val="0"/>
      <w:marTop w:val="0"/>
      <w:marBottom w:val="0"/>
      <w:divBdr>
        <w:top w:val="none" w:sz="0" w:space="0" w:color="auto"/>
        <w:left w:val="none" w:sz="0" w:space="0" w:color="auto"/>
        <w:bottom w:val="none" w:sz="0" w:space="0" w:color="auto"/>
        <w:right w:val="none" w:sz="0" w:space="0" w:color="auto"/>
      </w:divBdr>
    </w:div>
    <w:div w:id="10698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cc.int/process-and-meetings/the-kyoto-protocol" TargetMode="External"/><Relationship Id="rId3" Type="http://schemas.openxmlformats.org/officeDocument/2006/relationships/settings" Target="settings.xml"/><Relationship Id="rId7" Type="http://schemas.openxmlformats.org/officeDocument/2006/relationships/hyperlink" Target="https://unfccc.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pcc.ch/" TargetMode="External"/><Relationship Id="rId11" Type="http://schemas.openxmlformats.org/officeDocument/2006/relationships/fontTable" Target="fontTable.xml"/><Relationship Id="rId5" Type="http://schemas.openxmlformats.org/officeDocument/2006/relationships/hyperlink" Target="https://www.ecotricity.co.uk/" TargetMode="External"/><Relationship Id="rId10" Type="http://schemas.openxmlformats.org/officeDocument/2006/relationships/hyperlink" Target="https://unfccc.int/process-and-meetings/the-paris-agreement" TargetMode="External"/><Relationship Id="rId4" Type="http://schemas.openxmlformats.org/officeDocument/2006/relationships/webSettings" Target="webSettings.xml"/><Relationship Id="rId9" Type="http://schemas.openxmlformats.org/officeDocument/2006/relationships/hyperlink" Target="https://climate.ec.europa.eu/eu-action/carbon-markets/eu-emissions-trading-system-eu-ets/about-eu-et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A1038-8463-4E48-8828-07DB0F7B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5</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Ponnusamy</dc:creator>
  <cp:keywords/>
  <dc:description/>
  <cp:lastModifiedBy>Savitha Ponnusamy</cp:lastModifiedBy>
  <cp:revision>213</cp:revision>
  <dcterms:created xsi:type="dcterms:W3CDTF">2025-08-29T18:24:00Z</dcterms:created>
  <dcterms:modified xsi:type="dcterms:W3CDTF">2025-10-03T12:45:00Z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4388a705-980f-45c9-9936-2921280bbb26</vt:lpwstr>
  </property>
  <property fmtid="{D5CDD505-2E9C-101B-9397-08002B2CF9AE}" pid="3" name="ZOTERO_PREF_1">
    <vt:lpwstr>&lt;data data-version="3" zotero-version="7.0.24"&gt;&lt;session id="8X0HNRT6"/&gt;&lt;style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