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 xml:space="preserve">Paper Title* (use style: </w:t>
      </w:r>
      <w:r>
        <w:rPr>
          <w:i/>
          <w:iCs/>
        </w:rPr>
        <w:t>paper title</w:t>
      </w:r>
      <w:r>
        <w:rPr/>
        <w:t>)</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sz w:val="18"/>
          <w:szCs w:val="18"/>
        </w:rPr>
      </w:pPr>
      <w:r>
        <w:rPr>
          <w:sz w:val="18"/>
          <w:szCs w:val="18"/>
        </w:rPr>
        <w:t>line 1: 1</w:t>
      </w:r>
      <w:r>
        <w:rPr>
          <w:sz w:val="18"/>
          <w:szCs w:val="18"/>
          <w:vertAlign w:val="superscript"/>
        </w:rPr>
        <w:t>st</w:t>
      </w:r>
      <w:r>
        <w:rPr>
          <w:sz w:val="18"/>
          <w:szCs w:val="18"/>
        </w:rPr>
        <w:t xml:space="preserve"> Given Name Surname </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br/>
        <w:br/>
        <w:t>line 1: 2</w:t>
      </w:r>
      <w:r>
        <w:rPr>
          <w:sz w:val="18"/>
          <w:szCs w:val="18"/>
          <w:vertAlign w:val="superscript"/>
        </w:rPr>
        <w:t>nd</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br/>
        <w:br/>
        <w:t>line 1: 3</w:t>
      </w:r>
      <w:r>
        <w:rPr>
          <w:sz w:val="18"/>
          <w:szCs w:val="18"/>
          <w:vertAlign w:val="superscript"/>
        </w:rPr>
        <w:t>rd</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br/>
        <w:br/>
        <w:t>line 1: 4</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Normal"/>
        <w:rPr/>
      </w:pPr>
      <w:r>
        <w:rPr/>
      </w:r>
    </w:p>
    <w:p>
      <w:pPr>
        <w:sectPr>
          <w:type w:val="continuous"/>
          <w:pgSz w:w="12240" w:h="15840"/>
          <w:pgMar w:left="893" w:right="893" w:header="0" w:top="1080" w:footer="720" w:bottom="1440" w:gutter="0"/>
          <w:formProt w:val="false"/>
          <w:textDirection w:val="lrTb"/>
          <w:docGrid w:type="default" w:linePitch="360" w:charSpace="8192"/>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contextualSpacing/>
        <w:rPr>
          <w:sz w:val="18"/>
          <w:szCs w:val="18"/>
        </w:rPr>
      </w:pPr>
      <w:r>
        <w:rPr>
          <w:sz w:val="18"/>
          <w:szCs w:val="18"/>
        </w:rPr>
        <w:t>line 1: 5</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r>
    </w:p>
    <w:p>
      <w:pPr>
        <w:pStyle w:val="Author"/>
        <w:spacing w:beforeAutospacing="1" w:after="40"/>
        <w:contextualSpacing/>
        <w:rPr>
          <w:sz w:val="18"/>
          <w:szCs w:val="18"/>
        </w:rPr>
      </w:pPr>
      <w:r>
        <w:rPr>
          <w:sz w:val="18"/>
          <w:szCs w:val="18"/>
        </w:rPr>
        <w:t>line 1: 6</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 xml:space="preserve">) </w:t>
      </w:r>
    </w:p>
    <w:p>
      <w:pPr>
        <w:pStyle w:val="Keywords"/>
        <w:rPr/>
      </w:pPr>
      <w:r>
        <w:rPr/>
        <w:t>Keywords—component, formatting, style, styling, insert (</w:t>
      </w:r>
      <w:r>
        <w:rPr>
          <w:b w:val="false"/>
        </w:rPr>
        <w:t>key words</w:t>
      </w:r>
      <w:r>
        <w:rPr/>
        <w:t>)</w:t>
      </w:r>
    </w:p>
    <w:p>
      <w:pPr>
        <w:pStyle w:val="Heading1"/>
        <w:numPr>
          <w:ilvl w:val="0"/>
          <w:numId w:val="4"/>
        </w:numPr>
        <w:ind w:hanging="0"/>
        <w:rPr/>
      </w:pPr>
      <w:r>
        <w:rPr/>
        <w:t>Introduction (</w:t>
      </w:r>
      <w:r>
        <w:rPr>
          <w:rFonts w:eastAsia="MS Mincho"/>
          <w:i/>
        </w:rPr>
        <w:t>Heading 1</w:t>
      </w:r>
      <w:r>
        <w:rPr/>
        <w:t>)</w:t>
      </w:r>
    </w:p>
    <w:p>
      <w:pPr>
        <w:pStyle w:val="TextBody"/>
        <w:rPr/>
      </w:pPr>
      <w:r>
        <w:rPr/>
        <w:t xml:space="preserve">Ethereum, as a blockchain has the capability to function as a platform for other projects, through the use of its Solidity programming language, and create complex automated protocols called smart contracts.The ledger aspect of blockchains in general also provide near ideal record keeping systems being that they are immutable. Using code in fusion with the inherit boons that come with using a blockchain, or more specifically Ethereum, one can solve problems that previously had no clear answer. One such problem that blockchain can solve and was even created for is, the rebalancing of global inequalities. For instance , </w:t>
      </w:r>
      <w:r>
        <w:rPr/>
        <w:t xml:space="preserve">In the present day, all that any entrepreneural minded person, buisness guru , or </w:t>
      </w:r>
      <w:r>
        <w:rPr/>
        <w:t xml:space="preserve">even </w:t>
      </w:r>
      <w:r>
        <w:rPr/>
        <w:t>investor can talk about, is the upcoming 4th industrial revolution. However most denizens of the world will not get to pro</w:t>
      </w:r>
      <w:r>
        <w:rPr/>
        <w:t>sper</w:t>
      </w:r>
      <w:r>
        <w:rPr/>
        <w:t xml:space="preserve"> from the event </w:t>
      </w:r>
      <w:r>
        <w:rPr/>
        <w:t>in the same way legacy</w:t>
      </w:r>
      <w:r>
        <w:rPr/>
        <w:t xml:space="preserve"> multi-national corporations will. </w:t>
      </w:r>
      <w:r>
        <w:rPr/>
        <w:t xml:space="preserve">Instead, </w:t>
      </w:r>
      <w:r>
        <w:rPr/>
        <w:t xml:space="preserve">once again internationally monopolize let another aspect of the global commerce sphere. This scenario highlights a key </w:t>
      </w:r>
      <w:r>
        <w:rPr/>
        <w:t>point in which blockchain can provide a cheap yet scalably feasible solution to the issue of decentralizing global industry and commerce. Smart</w:t>
      </w:r>
    </w:p>
    <w:p>
      <w:pPr>
        <w:pStyle w:val="Heading1"/>
        <w:numPr>
          <w:ilvl w:val="0"/>
          <w:numId w:val="4"/>
        </w:numPr>
        <w:ind w:hanging="0"/>
        <w:rPr/>
      </w:pPr>
      <w:r>
        <w:rPr/>
        <w:t>Ease of Use</w:t>
      </w:r>
    </w:p>
    <w:p>
      <w:pPr>
        <w:pStyle w:val="Heading2"/>
        <w:numPr>
          <w:ilvl w:val="1"/>
          <w:numId w:val="4"/>
        </w:numPr>
        <w:rPr/>
      </w:pPr>
      <w:r>
        <w:rPr/>
        <w:t>Selecting a Template (Heading 2)</w:t>
      </w:r>
    </w:p>
    <w:p>
      <w:pPr>
        <w:pStyle w:val="TextBody"/>
        <w:rPr/>
      </w:pPr>
      <w:r>
        <w:rPr/>
        <w:t>First, confirm that you have the correct template for your paper size. This template has been tailored for output on the US-letter paper size. If you are using A4-sized paper, please close this file and download the file “MSW_A4_format”.</w:t>
      </w:r>
    </w:p>
    <w:p>
      <w:pPr>
        <w:pStyle w:val="TextBody"/>
        <w:rPr/>
      </w:pPr>
      <w:r>
        <w:rPr/>
      </w:r>
    </w:p>
    <w:p>
      <w:pPr>
        <w:pStyle w:val="Heading2"/>
        <w:numPr>
          <w:ilvl w:val="1"/>
          <w:numId w:val="4"/>
        </w:numPr>
        <w:rPr/>
      </w:pPr>
      <w:r>
        <w:rPr/>
        <w:t>Maintaining the Integrity of the Specifications</w:t>
      </w:r>
    </w:p>
    <w:p>
      <w:pPr>
        <w:pStyle w:val="TextBody"/>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Sponsors"/>
        <w:pBdr/>
        <w:ind w:firstLine="289"/>
        <w:rPr/>
        <w:framePr w:w="4711" w:h="274" w:x="868" w:y="14401" w:wrap="auto" w:vAnchor="page" w:hAnchor="page" w:hRule="exact"/>
      </w:pPr>
      <w:r>
        <w:rPr/>
        <w:t xml:space="preserve">Identify applicable funding agency here. </w:t>
      </w:r>
      <w:r>
        <w:rPr>
          <w:iCs/>
        </w:rPr>
        <w:t>If none, delete this text box.</w:t>
      </w:r>
    </w:p>
    <w:p>
      <w:pPr>
        <w:pStyle w:val="Heading1"/>
        <w:numPr>
          <w:ilvl w:val="0"/>
          <w:numId w:val="4"/>
        </w:numPr>
        <w:ind w:hanging="0"/>
        <w:rPr/>
      </w:pPr>
      <w:r>
        <w:rPr/>
        <w:t>Prepare Your Paper Before Styling</w:t>
      </w:r>
    </w:p>
    <w:p>
      <w:pPr>
        <w:pStyle w:val="TextBody"/>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Style w:val="TextBody"/>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numPr>
          <w:ilvl w:val="1"/>
          <w:numId w:val="4"/>
        </w:numPr>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4"/>
        </w:numPr>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left="576" w:hanging="288"/>
        <w:rPr/>
      </w:pPr>
      <w:r>
        <w:rPr/>
        <w:t>Use a zero before decimal points: “0.25”, not “.25”. Use “cm3”, not “cc”. (</w:t>
      </w:r>
      <w:r>
        <w:rPr>
          <w:i/>
          <w:iCs/>
        </w:rPr>
        <w:t>bullet list</w:t>
      </w:r>
      <w:r>
        <w:rPr/>
        <w:t>)</w:t>
      </w:r>
    </w:p>
    <w:p>
      <w:pPr>
        <w:pStyle w:val="Heading2"/>
        <w:numPr>
          <w:ilvl w:val="1"/>
          <w:numId w:val="4"/>
        </w:numPr>
        <w:rPr/>
      </w:pPr>
      <w:r>
        <w:rPr/>
        <w:t>Equations</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Body"/>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numPr>
          <w:ilvl w:val="1"/>
          <w:numId w:val="4"/>
        </w:numPr>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TextBody"/>
        <w:rPr/>
      </w:pPr>
      <w:r>
        <w:rPr/>
        <w:t>An excellent style manual for science writers is [7].</w:t>
      </w:r>
    </w:p>
    <w:p>
      <w:pPr>
        <w:pStyle w:val="Heading1"/>
        <w:numPr>
          <w:ilvl w:val="0"/>
          <w:numId w:val="4"/>
        </w:numPr>
        <w:ind w:hanging="0"/>
        <w:rPr/>
      </w:pPr>
      <w:r>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4"/>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4"/>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4"/>
        </w:numPr>
        <w:ind w:firstLine="288"/>
        <w:rPr/>
      </w:pPr>
      <w:r>
        <w:rPr/>
        <w:t xml:space="preserve">For papers with less than six authors: </w:t>
      </w:r>
      <w:r>
        <w:rPr>
          <w:i w:val="false"/>
        </w:rPr>
        <w:t>To change the default, adjust the template as follows.</w:t>
      </w:r>
    </w:p>
    <w:p>
      <w:pPr>
        <w:pStyle w:val="Heading4"/>
        <w:numPr>
          <w:ilvl w:val="3"/>
          <w:numId w:val="4"/>
        </w:numPr>
        <w:ind w:firstLine="504"/>
        <w:rPr/>
      </w:pPr>
      <w:r>
        <w:rPr/>
        <w:t xml:space="preserve">Selection: </w:t>
      </w:r>
      <w:r>
        <w:rPr>
          <w:i w:val="false"/>
        </w:rPr>
        <w:t>Highlight all author and affiliation lines.</w:t>
      </w:r>
    </w:p>
    <w:p>
      <w:pPr>
        <w:pStyle w:val="Heading4"/>
        <w:numPr>
          <w:ilvl w:val="3"/>
          <w:numId w:val="4"/>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4"/>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4"/>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4"/>
        </w:numPr>
        <w:rPr/>
      </w:pPr>
      <w:r>
        <w:rPr/>
        <w:t>Figures and Tables</w:t>
      </w:r>
    </w:p>
    <w:p>
      <w:pPr>
        <w:pStyle w:val="Heading4"/>
        <w:numPr>
          <w:ilvl w:val="3"/>
          <w:numId w:val="4"/>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7" w:type="dxa"/>
          <w:bottom w:w="0" w:type="dxa"/>
          <w:right w:w="108" w:type="dxa"/>
        </w:tblCellMar>
        <w:tblLook w:noHBand="0" w:noVBand="0" w:firstColumn="0" w:lastRow="0" w:lastColumn="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1"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7"/>
        </w:numPr>
        <w:ind w:left="58" w:hanging="29"/>
        <w:rPr/>
      </w:pPr>
      <w:r>
        <w:rPr/>
        <w:t>Sample of a Table footnote. (</w:t>
      </w:r>
      <w:r>
        <w:rPr>
          <w:i/>
        </w:rPr>
        <w:t>Table footnote</w:t>
      </w:r>
      <w:r>
        <w:rPr/>
        <w:t>)</w:t>
      </w:r>
    </w:p>
    <w:p>
      <w:pPr>
        <w:pStyle w:val="Figurecaption"/>
        <w:numPr>
          <w:ilvl w:val="0"/>
          <w:numId w:val="3"/>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 xml:space="preserve">Put sponsor acknowledgments in the unnumbered footnote on the first page. </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left="354" w:hanging="354"/>
        <w:rPr/>
      </w:pPr>
      <w:r>
        <w:rPr/>
        <w:t>J. Clerk Maxwell, A Treatise on Electricity and Magnetism, 3rd ed., vol. 2. Oxford: Clarendon, 1892, pp.68–73.</w:t>
      </w:r>
    </w:p>
    <w:p>
      <w:pPr>
        <w:pStyle w:val="References"/>
        <w:numPr>
          <w:ilvl w:val="0"/>
          <w:numId w:val="5"/>
        </w:numPr>
        <w:ind w:left="354" w:hanging="354"/>
        <w:rPr/>
      </w:pPr>
      <w:r>
        <w:rPr/>
        <w:t>I. S. Jacobs and C. P. Bean, “Fine particles, thin films and exchange anisotropy,” in Magnetism, vol. III, G. T. Rado and H. Suhl, Eds. New York: Academic, 1963, pp. 271–350.</w:t>
      </w:r>
    </w:p>
    <w:p>
      <w:pPr>
        <w:pStyle w:val="References"/>
        <w:numPr>
          <w:ilvl w:val="0"/>
          <w:numId w:val="5"/>
        </w:numPr>
        <w:ind w:left="354" w:hanging="354"/>
        <w:rPr/>
      </w:pPr>
      <w:r>
        <w:rPr/>
        <w:t>K. Elissa, “Title of paper if known,” unpublished.</w:t>
      </w:r>
    </w:p>
    <w:p>
      <w:pPr>
        <w:pStyle w:val="References"/>
        <w:numPr>
          <w:ilvl w:val="0"/>
          <w:numId w:val="5"/>
        </w:numPr>
        <w:ind w:left="354" w:hanging="354"/>
        <w:rPr/>
      </w:pPr>
      <w:r>
        <w:rPr/>
        <w:t>R. Nicole, “Title of paper with only first word capitalized,” J. Name Stand. Abbrev., in press.</w:t>
      </w:r>
    </w:p>
    <w:p>
      <w:pPr>
        <w:pStyle w:val="References"/>
        <w:numPr>
          <w:ilvl w:val="0"/>
          <w:numId w:val="5"/>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left="354" w:hanging="354"/>
        <w:rPr/>
      </w:pPr>
      <w:r>
        <w:rPr/>
        <w:t>M. Young, The Technical Writer’s Handbook. Mill Valley, CA: University Science, 1989.</w:t>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2240" w:h="15840"/>
          <w:pgMar w:left="893" w:right="893" w:header="0" w:top="1080" w:footer="1440" w:bottom="1723"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1440" w:bottom="1723" w:gutter="0"/>
          <w:formProt w:val="false"/>
          <w:textDirection w:val="lrTb"/>
          <w:docGrid w:type="default" w:linePitch="360" w:charSpace="8192"/>
        </w:sectPr>
      </w:pPr>
    </w:p>
    <w:sectPr>
      <w:type w:val="continuous"/>
      <w:pgSz w:w="12240" w:h="15840"/>
      <w:pgMar w:left="893" w:right="893" w:header="0" w:top="108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4</Pages>
  <Words>2445</Words>
  <Characters>12330</Characters>
  <CharactersWithSpaces>14640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2020-05-28T12:16:25Z</dcterms:modified>
  <cp:revision>4</cp:revision>
  <dc:subject/>
  <dc:title>Paper Title (use style: paper title)</dc:title>
</cp:coreProperties>
</file>