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AB9" w:rsidRDefault="008A3412" w:rsidP="00680EE3">
      <w:pPr>
        <w:pStyle w:val="Title"/>
      </w:pPr>
      <w:r>
        <w:t xml:space="preserve">Reporting </w:t>
      </w:r>
      <w:r w:rsidR="00876F0C">
        <w:t>Data</w:t>
      </w:r>
      <w:r w:rsidR="006E6344">
        <w:t>base</w:t>
      </w:r>
      <w:r w:rsidR="00876F0C">
        <w:t xml:space="preserve"> </w:t>
      </w:r>
      <w:r>
        <w:t>Conventions</w:t>
      </w:r>
    </w:p>
    <w:p w:rsidR="008A3412" w:rsidRDefault="008A3412"/>
    <w:p w:rsidR="008A3412" w:rsidRPr="00876F0C" w:rsidRDefault="008A3412" w:rsidP="00680EE3">
      <w:pPr>
        <w:pStyle w:val="Heading2"/>
      </w:pPr>
      <w:r w:rsidRPr="00876F0C">
        <w:t>Databases</w:t>
      </w:r>
    </w:p>
    <w:p w:rsidR="00E34D2C" w:rsidRDefault="00E34D2C">
      <w:r>
        <w:t>All reports should come from a single database, named Reporting.</w:t>
      </w:r>
    </w:p>
    <w:p w:rsidR="00E34D2C" w:rsidRDefault="00E34D2C">
      <w:r>
        <w:t>The Reporting database will have several schemas, each given a 3-character code:</w:t>
      </w:r>
    </w:p>
    <w:p w:rsidR="00E34D2C" w:rsidRDefault="00E34D2C" w:rsidP="00667B52">
      <w:pPr>
        <w:pStyle w:val="ListParagraph"/>
        <w:numPr>
          <w:ilvl w:val="0"/>
          <w:numId w:val="4"/>
        </w:numPr>
      </w:pPr>
      <w:proofErr w:type="spellStart"/>
      <w:r>
        <w:t>Reporting.</w:t>
      </w:r>
      <w:r>
        <w:t>RT</w:t>
      </w:r>
      <w:r w:rsidR="00667B52">
        <w:t>M</w:t>
      </w:r>
      <w:proofErr w:type="spellEnd"/>
      <w:r>
        <w:t xml:space="preserve"> – real-time market data reports. Will have views of transactional tables set up for </w:t>
      </w:r>
      <w:r w:rsidR="00667B52">
        <w:t xml:space="preserve">real-time </w:t>
      </w:r>
      <w:r>
        <w:t>analytical purposes</w:t>
      </w:r>
      <w:r w:rsidR="00667B52">
        <w:t xml:space="preserve">. There will be no data stored in this schema, and the </w:t>
      </w:r>
      <w:r w:rsidR="00217E3E">
        <w:t xml:space="preserve">structure &amp; </w:t>
      </w:r>
      <w:r w:rsidR="00667B52">
        <w:t xml:space="preserve">conventions </w:t>
      </w:r>
      <w:r w:rsidR="00217E3E">
        <w:t xml:space="preserve">discussed in </w:t>
      </w:r>
      <w:r w:rsidR="00667B52">
        <w:t>this document do not apply.</w:t>
      </w:r>
    </w:p>
    <w:p w:rsidR="00E34D2C" w:rsidRDefault="00667B52" w:rsidP="00667B52">
      <w:pPr>
        <w:pStyle w:val="ListParagraph"/>
        <w:numPr>
          <w:ilvl w:val="0"/>
          <w:numId w:val="4"/>
        </w:numPr>
      </w:pPr>
      <w:proofErr w:type="spellStart"/>
      <w:r>
        <w:t>Reporting.Mkt</w:t>
      </w:r>
      <w:proofErr w:type="spellEnd"/>
      <w:r w:rsidR="00E34D2C">
        <w:t xml:space="preserve"> – contains general market data relating to any market</w:t>
      </w:r>
    </w:p>
    <w:p w:rsidR="00E34D2C" w:rsidRDefault="00E34D2C" w:rsidP="00667B52">
      <w:pPr>
        <w:pStyle w:val="ListParagraph"/>
        <w:numPr>
          <w:ilvl w:val="0"/>
          <w:numId w:val="4"/>
        </w:numPr>
      </w:pPr>
      <w:proofErr w:type="spellStart"/>
      <w:r>
        <w:t>Reporting.WPT</w:t>
      </w:r>
      <w:proofErr w:type="spellEnd"/>
      <w:r>
        <w:t xml:space="preserve"> – contains client-specific information relating to Wholesale Power Trading</w:t>
      </w:r>
    </w:p>
    <w:p w:rsidR="00E34D2C" w:rsidRDefault="00E34D2C" w:rsidP="00667B52">
      <w:pPr>
        <w:pStyle w:val="ListParagraph"/>
        <w:numPr>
          <w:ilvl w:val="0"/>
          <w:numId w:val="4"/>
        </w:numPr>
      </w:pPr>
      <w:proofErr w:type="spellStart"/>
      <w:r>
        <w:t>Reporting.</w:t>
      </w:r>
      <w:r w:rsidR="00667B52">
        <w:t>SVP</w:t>
      </w:r>
      <w:proofErr w:type="spellEnd"/>
      <w:r>
        <w:t xml:space="preserve"> – client-specific information relating to </w:t>
      </w:r>
      <w:proofErr w:type="spellStart"/>
      <w:r>
        <w:t>SavvyPlus</w:t>
      </w:r>
      <w:proofErr w:type="spellEnd"/>
      <w:r>
        <w:t xml:space="preserve"> Consulting clients</w:t>
      </w:r>
    </w:p>
    <w:p w:rsidR="00E34D2C" w:rsidRDefault="00667B52">
      <w:r>
        <w:t xml:space="preserve">New schemas will be created for any additional clients to assist in managing </w:t>
      </w:r>
      <w:r w:rsidR="00217E3E">
        <w:t xml:space="preserve">security </w:t>
      </w:r>
      <w:r>
        <w:t>permissions.</w:t>
      </w:r>
      <w:r w:rsidR="00217E3E">
        <w:t xml:space="preserve"> </w:t>
      </w:r>
      <w:r w:rsidR="00217E3E">
        <w:t xml:space="preserve">If a particular type of data is stored in multiple client databases, each will use </w:t>
      </w:r>
      <w:r w:rsidR="00217E3E">
        <w:t xml:space="preserve">exactly </w:t>
      </w:r>
      <w:r w:rsidR="00217E3E">
        <w:t>the same table definitions (name, columns</w:t>
      </w:r>
      <w:r w:rsidR="00217E3E">
        <w:t xml:space="preserve">, </w:t>
      </w:r>
      <w:proofErr w:type="gramStart"/>
      <w:r w:rsidR="00217E3E">
        <w:t>data</w:t>
      </w:r>
      <w:proofErr w:type="gramEnd"/>
      <w:r w:rsidR="00217E3E">
        <w:t xml:space="preserve"> types</w:t>
      </w:r>
      <w:r w:rsidR="00217E3E">
        <w:t>).</w:t>
      </w:r>
    </w:p>
    <w:p w:rsidR="00876F0C" w:rsidRPr="00876F0C" w:rsidRDefault="00876F0C" w:rsidP="00680EE3">
      <w:pPr>
        <w:pStyle w:val="Heading2"/>
      </w:pPr>
      <w:r w:rsidRPr="00876F0C">
        <w:t>Update</w:t>
      </w:r>
      <w:r w:rsidR="00DB427C">
        <w:t>s</w:t>
      </w:r>
    </w:p>
    <w:p w:rsidR="00DB427C" w:rsidRDefault="00876F0C" w:rsidP="00DB427C">
      <w:r>
        <w:t>All insertions &amp; updates to the reporting database(s) will be performed by a controlled stored procedure which is reporting table specific</w:t>
      </w:r>
      <w:r w:rsidR="00DB427C">
        <w:t xml:space="preserve">. The stored </w:t>
      </w:r>
      <w:proofErr w:type="spellStart"/>
      <w:r w:rsidR="00DB427C">
        <w:t>proc</w:t>
      </w:r>
      <w:proofErr w:type="spellEnd"/>
      <w:r w:rsidR="00DB427C">
        <w:t xml:space="preserve"> will synchronise the reporting table with a view or staging table that has been created having exactly the same fields as the reporting table.</w:t>
      </w:r>
    </w:p>
    <w:p w:rsidR="00DB427C" w:rsidRDefault="00DB427C">
      <w:r>
        <w:t xml:space="preserve">The synchronisation process has an option not to “delete” records that no longer exist in the source view. This supports, by way of example, updating reporting data based on a view that contains only recent data </w:t>
      </w:r>
      <w:r w:rsidR="00EF6789">
        <w:t>when</w:t>
      </w:r>
      <w:r>
        <w:t xml:space="preserve"> we know the older source data is unchanged.</w:t>
      </w:r>
    </w:p>
    <w:p w:rsidR="00876F0C" w:rsidRDefault="00876F0C" w:rsidP="00680EE3">
      <w:pPr>
        <w:pStyle w:val="Heading2"/>
      </w:pPr>
      <w:r>
        <w:t>Versioning</w:t>
      </w:r>
    </w:p>
    <w:p w:rsidR="00680EE3" w:rsidRDefault="00680EE3" w:rsidP="00680EE3">
      <w:r>
        <w:t xml:space="preserve">The reporting database will preserve all versions of data to support re-creating a report at any point in time. For versioning, certain fields in any table are nominated as “key fields” which should uniquely and permanently identify a record (i.e. a natural key for the data). The update process will </w:t>
      </w:r>
      <w:r w:rsidR="000655FE">
        <w:t xml:space="preserve">match on </w:t>
      </w:r>
      <w:r>
        <w:t xml:space="preserve">these fields to determine whether </w:t>
      </w:r>
      <w:r w:rsidR="000655FE">
        <w:t>a record is entirely new, or a new version of existing data.</w:t>
      </w:r>
      <w:r w:rsidR="00716024">
        <w:t xml:space="preserve"> The </w:t>
      </w:r>
      <w:r w:rsidR="002C532B">
        <w:t>S</w:t>
      </w:r>
      <w:r w:rsidR="00716024">
        <w:t>ource should not contain duplicates (multiple records with mat</w:t>
      </w:r>
      <w:r w:rsidR="002C532B">
        <w:t>ching values in each key field) but the loading process does not throw an error if duplicates exist.</w:t>
      </w:r>
    </w:p>
    <w:p w:rsidR="00876F0C" w:rsidRDefault="00876F0C">
      <w:r>
        <w:t>The loading process add</w:t>
      </w:r>
      <w:r w:rsidR="00680EE3">
        <w:t>s</w:t>
      </w:r>
      <w:r>
        <w:t xml:space="preserve"> </w:t>
      </w:r>
      <w:r w:rsidR="002C532B">
        <w:t>[</w:t>
      </w:r>
      <w:r>
        <w:t>ID</w:t>
      </w:r>
      <w:r w:rsidR="002C532B">
        <w:t>]</w:t>
      </w:r>
      <w:r>
        <w:t xml:space="preserve">, </w:t>
      </w:r>
      <w:r w:rsidR="002C532B">
        <w:t>[</w:t>
      </w:r>
      <w:r>
        <w:t>Active</w:t>
      </w:r>
      <w:r w:rsidR="002C532B">
        <w:t xml:space="preserve"> </w:t>
      </w:r>
      <w:r>
        <w:t>From</w:t>
      </w:r>
      <w:r w:rsidR="002C532B">
        <w:t>]</w:t>
      </w:r>
      <w:r>
        <w:t xml:space="preserve"> and </w:t>
      </w:r>
      <w:r w:rsidR="002C532B">
        <w:t>[</w:t>
      </w:r>
      <w:r>
        <w:t>Active</w:t>
      </w:r>
      <w:r w:rsidR="002C532B">
        <w:t xml:space="preserve"> </w:t>
      </w:r>
      <w:r>
        <w:t>To</w:t>
      </w:r>
      <w:r w:rsidR="002C532B">
        <w:t>]</w:t>
      </w:r>
      <w:r>
        <w:t xml:space="preserve"> fields</w:t>
      </w:r>
      <w:r w:rsidR="000655FE">
        <w:t xml:space="preserve"> </w:t>
      </w:r>
      <w:r w:rsidR="006E6344">
        <w:t xml:space="preserve">to create a </w:t>
      </w:r>
      <w:r w:rsidR="002C532B">
        <w:t>V</w:t>
      </w:r>
      <w:r w:rsidR="006E6344">
        <w:t xml:space="preserve">ersion </w:t>
      </w:r>
      <w:r w:rsidR="002C532B">
        <w:t>T</w:t>
      </w:r>
      <w:r w:rsidR="006E6344">
        <w:t xml:space="preserve">able </w:t>
      </w:r>
      <w:r w:rsidR="000655FE">
        <w:t xml:space="preserve">(the </w:t>
      </w:r>
      <w:r w:rsidR="002C532B">
        <w:t>S</w:t>
      </w:r>
      <w:r w:rsidR="000655FE">
        <w:t>ource must not use these field names)</w:t>
      </w:r>
      <w:r>
        <w:t xml:space="preserve">. </w:t>
      </w:r>
      <w:r w:rsidR="002C532B">
        <w:t>[</w:t>
      </w:r>
      <w:r>
        <w:t>ID</w:t>
      </w:r>
      <w:r w:rsidR="002C532B">
        <w:t>]</w:t>
      </w:r>
      <w:r>
        <w:t xml:space="preserve"> is an auto-incrementing identity field, </w:t>
      </w:r>
      <w:r w:rsidR="002C532B">
        <w:t>[</w:t>
      </w:r>
      <w:r>
        <w:t>Active</w:t>
      </w:r>
      <w:r w:rsidR="002C532B">
        <w:t xml:space="preserve"> </w:t>
      </w:r>
      <w:r>
        <w:t>From</w:t>
      </w:r>
      <w:r w:rsidR="002C532B">
        <w:t>]</w:t>
      </w:r>
      <w:r>
        <w:t xml:space="preserve"> the date/time at which the record</w:t>
      </w:r>
      <w:r w:rsidR="000655FE">
        <w:t xml:space="preserve"> is loaded</w:t>
      </w:r>
      <w:r>
        <w:t xml:space="preserve">, </w:t>
      </w:r>
      <w:r w:rsidR="002C532B">
        <w:t>[</w:t>
      </w:r>
      <w:r>
        <w:t>Active</w:t>
      </w:r>
      <w:r w:rsidR="002C532B">
        <w:t xml:space="preserve"> </w:t>
      </w:r>
      <w:r>
        <w:t>To</w:t>
      </w:r>
      <w:r w:rsidR="002C532B">
        <w:t>]</w:t>
      </w:r>
      <w:r>
        <w:t xml:space="preserve"> the date/time at which the record </w:t>
      </w:r>
      <w:r w:rsidR="000655FE">
        <w:t xml:space="preserve">became </w:t>
      </w:r>
      <w:r>
        <w:t>inactive (i.e. deleted or updated). All current reco</w:t>
      </w:r>
      <w:r w:rsidR="000655FE">
        <w:t xml:space="preserve">rds have </w:t>
      </w:r>
      <w:r w:rsidR="002C532B">
        <w:t>[</w:t>
      </w:r>
      <w:r w:rsidR="000655FE">
        <w:t>Active</w:t>
      </w:r>
      <w:r w:rsidR="002C532B">
        <w:t xml:space="preserve"> </w:t>
      </w:r>
      <w:r w:rsidR="000655FE">
        <w:t>To</w:t>
      </w:r>
      <w:r w:rsidR="002C532B">
        <w:t>]</w:t>
      </w:r>
      <w:r w:rsidR="000655FE">
        <w:t xml:space="preserve"> date</w:t>
      </w:r>
      <w:r>
        <w:t xml:space="preserve"> of ‘9999-12-31’</w:t>
      </w:r>
      <w:r w:rsidR="00A03684">
        <w:t>. The version table name will have a “_</w:t>
      </w:r>
      <w:proofErr w:type="spellStart"/>
      <w:r w:rsidR="00A03684">
        <w:t>Vers</w:t>
      </w:r>
      <w:proofErr w:type="spellEnd"/>
      <w:r w:rsidR="00A03684">
        <w:t xml:space="preserve">” suffix e.g. </w:t>
      </w:r>
      <w:proofErr w:type="spellStart"/>
      <w:r w:rsidR="00A03684">
        <w:t>SpotPrice_Vers</w:t>
      </w:r>
      <w:proofErr w:type="spellEnd"/>
      <w:r w:rsidR="00A03684">
        <w:t>.</w:t>
      </w:r>
    </w:p>
    <w:p w:rsidR="00DB427C" w:rsidRDefault="00DB427C">
      <w:r>
        <w:t xml:space="preserve">A </w:t>
      </w:r>
      <w:r w:rsidR="002C532B">
        <w:t>Reporting V</w:t>
      </w:r>
      <w:r>
        <w:t xml:space="preserve">iew will be automatically created in the reporting database that shows all the fields in the source along with a </w:t>
      </w:r>
      <w:bookmarkStart w:id="0" w:name="_GoBack"/>
      <w:bookmarkEnd w:id="0"/>
      <w:r>
        <w:t>last modified date/time, and only the currently active records. Unless point-in-time reporting is required, al</w:t>
      </w:r>
      <w:r w:rsidR="002C532B">
        <w:t>l reporting should be from the Reporting View</w:t>
      </w:r>
      <w:r>
        <w:t xml:space="preserve">. The table below </w:t>
      </w:r>
      <w:r w:rsidR="002C532B">
        <w:t>shows the relationship between S</w:t>
      </w:r>
      <w:r>
        <w:t xml:space="preserve">ource, </w:t>
      </w:r>
      <w:r w:rsidR="002C532B">
        <w:t>V</w:t>
      </w:r>
      <w:r>
        <w:t xml:space="preserve">ersion </w:t>
      </w:r>
      <w:r w:rsidR="002C532B">
        <w:t>T</w:t>
      </w:r>
      <w:r>
        <w:t xml:space="preserve">able and </w:t>
      </w:r>
      <w:r w:rsidR="002C532B">
        <w:t>R</w:t>
      </w:r>
      <w:r>
        <w:t xml:space="preserve">eporting </w:t>
      </w:r>
      <w:r w:rsidR="002C532B">
        <w:t>V</w:t>
      </w:r>
      <w:r>
        <w:t>iew.</w:t>
      </w:r>
      <w:r w:rsidR="00A03684">
        <w:t xml:space="preserve"> </w:t>
      </w:r>
      <w:r w:rsidR="002C532B">
        <w:t xml:space="preserve">The Reporting </w:t>
      </w:r>
      <w:r w:rsidR="00A03684">
        <w:t xml:space="preserve">View name will match the </w:t>
      </w:r>
      <w:r w:rsidR="002C532B">
        <w:t>V</w:t>
      </w:r>
      <w:r w:rsidR="00A03684">
        <w:t xml:space="preserve">ersion </w:t>
      </w:r>
      <w:r w:rsidR="002C532B">
        <w:t>T</w:t>
      </w:r>
      <w:r w:rsidR="00A03684">
        <w:t xml:space="preserve">able name but without </w:t>
      </w:r>
      <w:r w:rsidR="002C532B">
        <w:t xml:space="preserve">the </w:t>
      </w:r>
      <w:r w:rsidR="00A03684">
        <w:t>“_</w:t>
      </w:r>
      <w:proofErr w:type="spellStart"/>
      <w:r w:rsidR="00A03684">
        <w:t>Vers</w:t>
      </w:r>
      <w:proofErr w:type="spellEnd"/>
      <w:r w:rsidR="00A03684">
        <w:t>” suffix.</w:t>
      </w:r>
    </w:p>
    <w:tbl>
      <w:tblPr>
        <w:tblStyle w:val="TableGrid"/>
        <w:tblW w:w="0" w:type="auto"/>
        <w:tblLook w:val="04A0" w:firstRow="1" w:lastRow="0" w:firstColumn="1" w:lastColumn="0" w:noHBand="0" w:noVBand="1"/>
      </w:tblPr>
      <w:tblGrid>
        <w:gridCol w:w="3005"/>
        <w:gridCol w:w="3126"/>
        <w:gridCol w:w="3726"/>
      </w:tblGrid>
      <w:tr w:rsidR="00BA6B6F" w:rsidTr="00BA6B6F">
        <w:tc>
          <w:tcPr>
            <w:tcW w:w="3005" w:type="dxa"/>
          </w:tcPr>
          <w:p w:rsidR="00BA6B6F" w:rsidRPr="00BA6B6F" w:rsidRDefault="00BA6B6F" w:rsidP="00282F0B">
            <w:pPr>
              <w:pStyle w:val="Heading2"/>
              <w:jc w:val="center"/>
              <w:outlineLvl w:val="1"/>
              <w:rPr>
                <w:noProof/>
                <w:lang w:eastAsia="en-AU"/>
              </w:rPr>
            </w:pPr>
            <w:r>
              <w:rPr>
                <w:noProof/>
                <w:lang w:eastAsia="en-AU"/>
              </w:rPr>
              <w:lastRenderedPageBreak/>
              <w:t>SOURCE VIEW</w:t>
            </w:r>
          </w:p>
        </w:tc>
        <w:tc>
          <w:tcPr>
            <w:tcW w:w="3005" w:type="dxa"/>
          </w:tcPr>
          <w:p w:rsidR="00BA6B6F" w:rsidRDefault="00BA6B6F" w:rsidP="00282F0B">
            <w:pPr>
              <w:pStyle w:val="Heading2"/>
              <w:jc w:val="center"/>
              <w:outlineLvl w:val="1"/>
            </w:pPr>
            <w:r>
              <w:t>VERSION TABLE</w:t>
            </w:r>
          </w:p>
        </w:tc>
        <w:tc>
          <w:tcPr>
            <w:tcW w:w="3006" w:type="dxa"/>
          </w:tcPr>
          <w:p w:rsidR="00BA6B6F" w:rsidRDefault="00BA6B6F" w:rsidP="00282F0B">
            <w:pPr>
              <w:pStyle w:val="Heading2"/>
              <w:jc w:val="center"/>
              <w:outlineLvl w:val="1"/>
            </w:pPr>
            <w:r>
              <w:t>REPORTING VIEW</w:t>
            </w:r>
          </w:p>
        </w:tc>
      </w:tr>
      <w:tr w:rsidR="00282F0B" w:rsidTr="00BA6B6F">
        <w:tc>
          <w:tcPr>
            <w:tcW w:w="3005" w:type="dxa"/>
          </w:tcPr>
          <w:p w:rsidR="00BA6B6F" w:rsidRDefault="00282F0B" w:rsidP="00282F0B">
            <w:pPr>
              <w:pStyle w:val="Heading2"/>
              <w:jc w:val="center"/>
              <w:outlineLvl w:val="1"/>
            </w:pPr>
            <w:r w:rsidRPr="00282F0B">
              <w:rPr>
                <w:noProof/>
                <w:lang w:eastAsia="en-AU"/>
              </w:rPr>
              <w:drawing>
                <wp:inline distT="0" distB="0" distL="0" distR="0">
                  <wp:extent cx="1409700" cy="955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3471" cy="977919"/>
                          </a:xfrm>
                          <a:prstGeom prst="rect">
                            <a:avLst/>
                          </a:prstGeom>
                          <a:noFill/>
                          <a:ln>
                            <a:noFill/>
                          </a:ln>
                        </pic:spPr>
                      </pic:pic>
                    </a:graphicData>
                  </a:graphic>
                </wp:inline>
              </w:drawing>
            </w:r>
          </w:p>
        </w:tc>
        <w:tc>
          <w:tcPr>
            <w:tcW w:w="3005" w:type="dxa"/>
          </w:tcPr>
          <w:p w:rsidR="00BA6B6F" w:rsidRDefault="00BA6B6F" w:rsidP="00282F0B">
            <w:pPr>
              <w:pStyle w:val="Heading2"/>
              <w:jc w:val="center"/>
              <w:outlineLvl w:val="1"/>
            </w:pPr>
            <w:r>
              <w:rPr>
                <w:noProof/>
                <w:lang w:eastAsia="en-AU"/>
              </w:rPr>
              <w:drawing>
                <wp:inline distT="0" distB="0" distL="0" distR="0" wp14:anchorId="42D47031" wp14:editId="543CC45B">
                  <wp:extent cx="1847430" cy="10382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412" t="9818" r="49480" b="69319"/>
                          <a:stretch/>
                        </pic:blipFill>
                        <pic:spPr bwMode="auto">
                          <a:xfrm>
                            <a:off x="0" y="0"/>
                            <a:ext cx="1856139" cy="1043119"/>
                          </a:xfrm>
                          <a:prstGeom prst="rect">
                            <a:avLst/>
                          </a:prstGeom>
                          <a:ln>
                            <a:noFill/>
                          </a:ln>
                          <a:extLst>
                            <a:ext uri="{53640926-AAD7-44D8-BBD7-CCE9431645EC}">
                              <a14:shadowObscured xmlns:a14="http://schemas.microsoft.com/office/drawing/2010/main"/>
                            </a:ext>
                          </a:extLst>
                        </pic:spPr>
                      </pic:pic>
                    </a:graphicData>
                  </a:graphic>
                </wp:inline>
              </w:drawing>
            </w:r>
          </w:p>
        </w:tc>
        <w:tc>
          <w:tcPr>
            <w:tcW w:w="3006" w:type="dxa"/>
          </w:tcPr>
          <w:p w:rsidR="00BA6B6F" w:rsidRDefault="00BA6B6F" w:rsidP="00282F0B">
            <w:pPr>
              <w:pStyle w:val="Heading2"/>
              <w:jc w:val="center"/>
              <w:outlineLvl w:val="1"/>
            </w:pPr>
            <w:r w:rsidRPr="00BA6B6F">
              <w:rPr>
                <w:noProof/>
                <w:lang w:eastAsia="en-AU"/>
              </w:rPr>
              <w:drawing>
                <wp:inline distT="0" distB="0" distL="0" distR="0">
                  <wp:extent cx="2228850" cy="96512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175" cy="977389"/>
                          </a:xfrm>
                          <a:prstGeom prst="rect">
                            <a:avLst/>
                          </a:prstGeom>
                          <a:noFill/>
                          <a:ln>
                            <a:noFill/>
                          </a:ln>
                        </pic:spPr>
                      </pic:pic>
                    </a:graphicData>
                  </a:graphic>
                </wp:inline>
              </w:drawing>
            </w:r>
          </w:p>
        </w:tc>
      </w:tr>
    </w:tbl>
    <w:p w:rsidR="00282F0B" w:rsidRDefault="00282F0B" w:rsidP="006E6344">
      <w:pPr>
        <w:pStyle w:val="Heading2"/>
      </w:pPr>
    </w:p>
    <w:p w:rsidR="006E6344" w:rsidRDefault="006E6344" w:rsidP="006E6344">
      <w:pPr>
        <w:pStyle w:val="Heading2"/>
      </w:pPr>
      <w:r>
        <w:t>Point-In-Time Reporting</w:t>
      </w:r>
    </w:p>
    <w:p w:rsidR="006E6344" w:rsidRPr="006E6344" w:rsidRDefault="006E6344" w:rsidP="006E6344">
      <w:r>
        <w:t xml:space="preserve">To recreate the data that was in the reporting database at a particular time, use the version table querying with condition </w:t>
      </w:r>
      <w:proofErr w:type="spellStart"/>
      <w:r>
        <w:t>historical_date_time</w:t>
      </w:r>
      <w:proofErr w:type="spellEnd"/>
      <w:r>
        <w:t xml:space="preserve"> BETWEEN </w:t>
      </w:r>
      <w:r w:rsidR="002C532B">
        <w:t>[</w:t>
      </w:r>
      <w:r>
        <w:t>Active</w:t>
      </w:r>
      <w:r w:rsidR="002C532B">
        <w:t xml:space="preserve"> </w:t>
      </w:r>
      <w:proofErr w:type="gramStart"/>
      <w:r>
        <w:t>From</w:t>
      </w:r>
      <w:proofErr w:type="gramEnd"/>
      <w:r w:rsidR="002C532B">
        <w:t>]</w:t>
      </w:r>
      <w:r>
        <w:t xml:space="preserve"> AND </w:t>
      </w:r>
      <w:r w:rsidR="002C532B">
        <w:t>[</w:t>
      </w:r>
      <w:r>
        <w:t>Active</w:t>
      </w:r>
      <w:r w:rsidR="002C532B">
        <w:t xml:space="preserve"> </w:t>
      </w:r>
      <w:r>
        <w:t>To</w:t>
      </w:r>
      <w:r w:rsidR="002C532B">
        <w:t>]</w:t>
      </w:r>
    </w:p>
    <w:p w:rsidR="00DB427C" w:rsidRDefault="00DB427C" w:rsidP="006E6344">
      <w:pPr>
        <w:pStyle w:val="Heading2"/>
      </w:pPr>
      <w:r>
        <w:t>Adding new tables</w:t>
      </w:r>
    </w:p>
    <w:p w:rsidR="00DB427C" w:rsidRPr="00DB427C" w:rsidRDefault="00DB427C" w:rsidP="00DB427C">
      <w:r>
        <w:t>The steps to add a new reporting table are:</w:t>
      </w:r>
    </w:p>
    <w:p w:rsidR="00DB427C" w:rsidRDefault="00DB427C" w:rsidP="00DB427C">
      <w:pPr>
        <w:pStyle w:val="ListParagraph"/>
        <w:numPr>
          <w:ilvl w:val="0"/>
          <w:numId w:val="1"/>
        </w:numPr>
      </w:pPr>
      <w:r>
        <w:t>Creates a view (SQL query) that has a snapshot of the exact data on which we wish to report, including field names</w:t>
      </w:r>
      <w:r w:rsidR="008562D2">
        <w:t>. Identify key field or fields</w:t>
      </w:r>
      <w:r>
        <w:t>.</w:t>
      </w:r>
    </w:p>
    <w:p w:rsidR="00DB427C" w:rsidRDefault="00DB427C" w:rsidP="00DB427C">
      <w:pPr>
        <w:pStyle w:val="ListParagraph"/>
        <w:numPr>
          <w:ilvl w:val="0"/>
          <w:numId w:val="1"/>
        </w:numPr>
      </w:pPr>
      <w:r>
        <w:t>Run a Python script which creates SQL commands to:</w:t>
      </w:r>
    </w:p>
    <w:p w:rsidR="00DB427C" w:rsidRDefault="00DB427C" w:rsidP="00DB427C">
      <w:pPr>
        <w:pStyle w:val="ListParagraph"/>
        <w:numPr>
          <w:ilvl w:val="1"/>
          <w:numId w:val="1"/>
        </w:numPr>
      </w:pPr>
      <w:r>
        <w:t>Create the version table</w:t>
      </w:r>
    </w:p>
    <w:p w:rsidR="00DB427C" w:rsidRDefault="00DB427C" w:rsidP="00DB427C">
      <w:pPr>
        <w:pStyle w:val="ListParagraph"/>
        <w:numPr>
          <w:ilvl w:val="1"/>
          <w:numId w:val="1"/>
        </w:numPr>
      </w:pPr>
      <w:r>
        <w:t>Create the reporting view</w:t>
      </w:r>
    </w:p>
    <w:p w:rsidR="00DB427C" w:rsidRDefault="00DB427C" w:rsidP="00DB427C">
      <w:pPr>
        <w:pStyle w:val="ListParagraph"/>
        <w:numPr>
          <w:ilvl w:val="1"/>
          <w:numId w:val="1"/>
        </w:numPr>
      </w:pPr>
      <w:r>
        <w:t xml:space="preserve">Create the stored </w:t>
      </w:r>
      <w:proofErr w:type="spellStart"/>
      <w:r>
        <w:t>proc</w:t>
      </w:r>
      <w:proofErr w:type="spellEnd"/>
      <w:r>
        <w:t xml:space="preserve"> to synchronise source and version tables</w:t>
      </w:r>
    </w:p>
    <w:p w:rsidR="00DB427C" w:rsidRDefault="00DB427C" w:rsidP="00DB427C">
      <w:pPr>
        <w:pStyle w:val="ListParagraph"/>
        <w:numPr>
          <w:ilvl w:val="0"/>
          <w:numId w:val="1"/>
        </w:numPr>
      </w:pPr>
      <w:r>
        <w:t>Run these scripts in the reporting database, then add indexes/constraints as required</w:t>
      </w:r>
    </w:p>
    <w:p w:rsidR="00BA6B6F" w:rsidRPr="00BA6B6F" w:rsidRDefault="00DB427C" w:rsidP="00BA6B6F">
      <w:pPr>
        <w:pStyle w:val="ListParagraph"/>
        <w:numPr>
          <w:ilvl w:val="0"/>
          <w:numId w:val="1"/>
        </w:numPr>
      </w:pPr>
      <w:r>
        <w:t xml:space="preserve">Schedule the synchronisation script to run at whatever frequency is </w:t>
      </w:r>
      <w:r w:rsidR="00282F0B">
        <w:t>needed</w:t>
      </w:r>
    </w:p>
    <w:p w:rsidR="00876F0C" w:rsidRDefault="008A3412" w:rsidP="00680EE3">
      <w:pPr>
        <w:pStyle w:val="Heading2"/>
      </w:pPr>
      <w:r>
        <w:t xml:space="preserve">Table </w:t>
      </w:r>
      <w:r w:rsidR="00876F0C">
        <w:t>Schema</w:t>
      </w:r>
      <w:r w:rsidR="00A03684">
        <w:t xml:space="preserve"> Design</w:t>
      </w:r>
    </w:p>
    <w:p w:rsidR="008A3412" w:rsidRDefault="008A3412">
      <w:r>
        <w:t>The reporting database will ideally use a star schema to maximise ease-of-use for analytical reporting. Where this is impractical or highly inefficient, snowflake will</w:t>
      </w:r>
      <w:r w:rsidR="00B27824">
        <w:t xml:space="preserve"> be used, in which case </w:t>
      </w:r>
      <w:r w:rsidR="00876F0C">
        <w:t xml:space="preserve">views </w:t>
      </w:r>
      <w:r w:rsidR="00B27824">
        <w:t xml:space="preserve">may be </w:t>
      </w:r>
      <w:r w:rsidR="00876F0C">
        <w:t>created to provide star-schema</w:t>
      </w:r>
      <w:r w:rsidR="00B27824">
        <w:t>-</w:t>
      </w:r>
      <w:r w:rsidR="00876F0C">
        <w:t>like ease-of-use</w:t>
      </w:r>
      <w:r w:rsidR="000655FE">
        <w:t>.</w:t>
      </w:r>
    </w:p>
    <w:p w:rsidR="008A3412" w:rsidRDefault="008A3412" w:rsidP="00680EE3">
      <w:pPr>
        <w:pStyle w:val="Heading2"/>
      </w:pPr>
      <w:r>
        <w:t>Table Names</w:t>
      </w:r>
    </w:p>
    <w:p w:rsidR="00876F0C" w:rsidRDefault="00876F0C">
      <w:r>
        <w:t>The following guidelines should</w:t>
      </w:r>
      <w:r w:rsidR="00DB427C">
        <w:t xml:space="preserve"> be followed for table names. Where following these rules results in an unclear or ambiguous </w:t>
      </w:r>
      <w:r w:rsidR="00B054BC">
        <w:t>table name, adapt as necessary.</w:t>
      </w:r>
    </w:p>
    <w:p w:rsidR="008A3412" w:rsidRDefault="008A3412">
      <w:r>
        <w:t xml:space="preserve">For market data, </w:t>
      </w:r>
      <w:r w:rsidR="00B054BC">
        <w:t xml:space="preserve">names </w:t>
      </w:r>
      <w:r>
        <w:t xml:space="preserve">follow </w:t>
      </w:r>
      <w:proofErr w:type="spellStart"/>
      <w:r w:rsidRPr="00B054BC">
        <w:rPr>
          <w:i/>
        </w:rPr>
        <w:t>Market_</w:t>
      </w:r>
      <w:r w:rsidR="00B054BC" w:rsidRPr="00B054BC">
        <w:rPr>
          <w:i/>
        </w:rPr>
        <w:t>Information</w:t>
      </w:r>
      <w:r w:rsidR="00876F0C" w:rsidRPr="00B054BC">
        <w:rPr>
          <w:i/>
        </w:rPr>
        <w:t>Description</w:t>
      </w:r>
      <w:r w:rsidR="00B054BC" w:rsidRPr="00B054BC">
        <w:rPr>
          <w:i/>
        </w:rPr>
        <w:t>_Aggregation</w:t>
      </w:r>
      <w:proofErr w:type="spellEnd"/>
      <w:r w:rsidR="00876F0C">
        <w:t xml:space="preserve"> format:</w:t>
      </w:r>
    </w:p>
    <w:p w:rsidR="00876F0C" w:rsidRDefault="00876F0C" w:rsidP="00B054BC">
      <w:pPr>
        <w:pStyle w:val="ListParagraph"/>
        <w:numPr>
          <w:ilvl w:val="0"/>
          <w:numId w:val="2"/>
        </w:numPr>
      </w:pPr>
      <w:r w:rsidRPr="00B054BC">
        <w:rPr>
          <w:i/>
        </w:rPr>
        <w:t>Market</w:t>
      </w:r>
      <w:r>
        <w:t xml:space="preserve"> is the </w:t>
      </w:r>
      <w:r w:rsidR="00B054BC">
        <w:t xml:space="preserve">short-form </w:t>
      </w:r>
      <w:r>
        <w:t xml:space="preserve">market the information relates to, or the commodity where it relates to multiple markets. Examples include NEM, ASX, OTC, </w:t>
      </w:r>
      <w:proofErr w:type="gramStart"/>
      <w:r>
        <w:t>Elec</w:t>
      </w:r>
      <w:proofErr w:type="gramEnd"/>
      <w:r>
        <w:t>.</w:t>
      </w:r>
    </w:p>
    <w:p w:rsidR="00876F0C" w:rsidRDefault="00B054BC" w:rsidP="00B054BC">
      <w:pPr>
        <w:pStyle w:val="ListParagraph"/>
        <w:numPr>
          <w:ilvl w:val="0"/>
          <w:numId w:val="2"/>
        </w:numPr>
      </w:pPr>
      <w:proofErr w:type="spellStart"/>
      <w:r>
        <w:rPr>
          <w:i/>
        </w:rPr>
        <w:t>Information</w:t>
      </w:r>
      <w:r w:rsidR="00876F0C" w:rsidRPr="00B054BC">
        <w:rPr>
          <w:i/>
        </w:rPr>
        <w:t>Description</w:t>
      </w:r>
      <w:proofErr w:type="spellEnd"/>
      <w:r>
        <w:t xml:space="preserve"> describes what information is contained in the tables.</w:t>
      </w:r>
    </w:p>
    <w:p w:rsidR="00B054BC" w:rsidRDefault="00B054BC" w:rsidP="00B054BC">
      <w:pPr>
        <w:pStyle w:val="ListParagraph"/>
        <w:numPr>
          <w:ilvl w:val="0"/>
          <w:numId w:val="2"/>
        </w:numPr>
      </w:pPr>
      <w:r>
        <w:rPr>
          <w:i/>
        </w:rPr>
        <w:t>Aggregation</w:t>
      </w:r>
      <w:r>
        <w:t xml:space="preserve"> describes how, if at all, the information is aggregated (e.g. time periods).</w:t>
      </w:r>
    </w:p>
    <w:p w:rsidR="00B054BC" w:rsidRDefault="00B054BC" w:rsidP="00B054BC">
      <w:pPr>
        <w:pStyle w:val="ListParagraph"/>
        <w:numPr>
          <w:ilvl w:val="0"/>
          <w:numId w:val="2"/>
        </w:numPr>
      </w:pPr>
      <w:r w:rsidRPr="00B054BC">
        <w:t>Capitalise the first letter of every word</w:t>
      </w:r>
      <w:r>
        <w:t>. Underscores between words if it increases clarity.</w:t>
      </w:r>
    </w:p>
    <w:p w:rsidR="004E4B69" w:rsidRPr="00B054BC" w:rsidRDefault="004E4B69" w:rsidP="00B054BC">
      <w:pPr>
        <w:pStyle w:val="ListParagraph"/>
        <w:numPr>
          <w:ilvl w:val="0"/>
          <w:numId w:val="2"/>
        </w:numPr>
      </w:pPr>
      <w:r>
        <w:t>Examples “</w:t>
      </w:r>
      <w:proofErr w:type="spellStart"/>
      <w:r>
        <w:t>NEM_SpotPrice_Daily</w:t>
      </w:r>
      <w:proofErr w:type="spellEnd"/>
      <w:r>
        <w:t>”, “</w:t>
      </w:r>
      <w:proofErr w:type="spellStart"/>
      <w:r w:rsidR="00722085">
        <w:t>ASX_Trade_Volume</w:t>
      </w:r>
      <w:r>
        <w:t>_By_Region</w:t>
      </w:r>
      <w:proofErr w:type="spellEnd"/>
      <w:r>
        <w:t>”</w:t>
      </w:r>
      <w:r w:rsidR="00722085">
        <w:t>,</w:t>
      </w:r>
      <w:r w:rsidR="00925B6F">
        <w:t xml:space="preserve"> </w:t>
      </w:r>
      <w:r w:rsidR="00722085">
        <w:t>”</w:t>
      </w:r>
      <w:proofErr w:type="spellStart"/>
      <w:r w:rsidR="00722085">
        <w:t>Elec_Contract_TradeLog</w:t>
      </w:r>
      <w:proofErr w:type="spellEnd"/>
      <w:r w:rsidR="00722085">
        <w:t>”</w:t>
      </w:r>
    </w:p>
    <w:p w:rsidR="00B054BC" w:rsidRDefault="00B054BC" w:rsidP="00B054BC">
      <w:r>
        <w:t>For client-specific data, names follow:</w:t>
      </w:r>
    </w:p>
    <w:p w:rsidR="00B054BC" w:rsidRDefault="00B054BC" w:rsidP="00B054BC">
      <w:pPr>
        <w:pStyle w:val="ListParagraph"/>
        <w:numPr>
          <w:ilvl w:val="0"/>
          <w:numId w:val="3"/>
        </w:numPr>
        <w:rPr>
          <w:i/>
        </w:rPr>
      </w:pPr>
      <w:r w:rsidRPr="00B054BC">
        <w:rPr>
          <w:i/>
        </w:rPr>
        <w:t>TBA</w:t>
      </w:r>
    </w:p>
    <w:p w:rsidR="00B054BC" w:rsidRDefault="00B054BC" w:rsidP="00B054BC">
      <w:pPr>
        <w:pStyle w:val="Heading2"/>
      </w:pPr>
      <w:r>
        <w:t>Field Names</w:t>
      </w:r>
    </w:p>
    <w:p w:rsidR="00B054BC" w:rsidRPr="00292C48" w:rsidRDefault="00B054BC" w:rsidP="00B054BC">
      <w:r>
        <w:t xml:space="preserve">Field names should </w:t>
      </w:r>
      <w:r w:rsidR="00BB42A2">
        <w:t xml:space="preserve">be exactly as you would hope to see if they appeared as a table heading in a report. This will simplify the production of reports and visually differentiate to developers the reporting databases from transactional ones. SQL Server allows special characters such as spaces, brackets etc. in field names (when writing SQL, field names will need to be inside square brackets). Names should be fully descriptive (e.g. “Region Name”, not “Name”) </w:t>
      </w:r>
      <w:r w:rsidR="00292C48">
        <w:t xml:space="preserve">and include units or other information likely to be required to interpret the field. Format is </w:t>
      </w:r>
      <w:r w:rsidR="00292C48" w:rsidRPr="00292C48">
        <w:rPr>
          <w:i/>
        </w:rPr>
        <w:t>Field Description</w:t>
      </w:r>
      <w:r w:rsidR="00292C48">
        <w:t xml:space="preserve"> </w:t>
      </w:r>
      <w:r w:rsidR="00292C48" w:rsidRPr="00292C48">
        <w:rPr>
          <w:i/>
        </w:rPr>
        <w:t>(</w:t>
      </w:r>
      <w:r w:rsidR="000900F3">
        <w:rPr>
          <w:i/>
        </w:rPr>
        <w:t>additional info</w:t>
      </w:r>
      <w:r w:rsidR="00292C48" w:rsidRPr="00292C48">
        <w:rPr>
          <w:i/>
        </w:rPr>
        <w:t>)</w:t>
      </w:r>
      <w:r w:rsidR="00292C48">
        <w:t>, where:</w:t>
      </w:r>
    </w:p>
    <w:p w:rsidR="00B054BC" w:rsidRDefault="00B054BC" w:rsidP="00B054BC">
      <w:pPr>
        <w:pStyle w:val="ListParagraph"/>
        <w:numPr>
          <w:ilvl w:val="0"/>
          <w:numId w:val="3"/>
        </w:numPr>
      </w:pPr>
      <w:r w:rsidRPr="00B054BC">
        <w:rPr>
          <w:i/>
        </w:rPr>
        <w:lastRenderedPageBreak/>
        <w:t>Field</w:t>
      </w:r>
      <w:r w:rsidR="00F24E9A">
        <w:rPr>
          <w:i/>
        </w:rPr>
        <w:t xml:space="preserve"> </w:t>
      </w:r>
      <w:r w:rsidRPr="00B054BC">
        <w:rPr>
          <w:i/>
        </w:rPr>
        <w:t>Description</w:t>
      </w:r>
      <w:r>
        <w:t xml:space="preserve"> describes the information contained in the field. Capitalise first letter of each word</w:t>
      </w:r>
      <w:r w:rsidR="000900F3">
        <w:t xml:space="preserve"> if appropriate</w:t>
      </w:r>
      <w:r>
        <w:t>. Multipl</w:t>
      </w:r>
      <w:r w:rsidR="00F24E9A">
        <w:t>e words separated by spaces</w:t>
      </w:r>
      <w:r>
        <w:t xml:space="preserve"> </w:t>
      </w:r>
      <w:r w:rsidR="00292C48">
        <w:t xml:space="preserve">unless </w:t>
      </w:r>
      <w:r w:rsidR="000900F3">
        <w:t>the words usually appear together in the relevant context</w:t>
      </w:r>
      <w:r w:rsidR="00292C48">
        <w:t xml:space="preserve"> (e.g. “</w:t>
      </w:r>
      <w:proofErr w:type="spellStart"/>
      <w:r w:rsidR="00292C48">
        <w:t>SettlementDate</w:t>
      </w:r>
      <w:proofErr w:type="spellEnd"/>
      <w:r w:rsidR="000900F3">
        <w:t>” in NEM-related table</w:t>
      </w:r>
      <w:r w:rsidR="00292C48">
        <w:t>)</w:t>
      </w:r>
      <w:r w:rsidR="00F24E9A">
        <w:t xml:space="preserve">. </w:t>
      </w:r>
      <w:r w:rsidR="000900F3">
        <w:t>The a</w:t>
      </w:r>
      <w:r w:rsidR="00F24E9A">
        <w:t xml:space="preserve">im is to not need to alter </w:t>
      </w:r>
      <w:r w:rsidR="000900F3">
        <w:t>the headings when reports are produced. Should use quantity names in the description, not units (e.g. “Energy” not “kWh”)</w:t>
      </w:r>
    </w:p>
    <w:p w:rsidR="00B054BC" w:rsidRPr="006E6344" w:rsidRDefault="000900F3" w:rsidP="00B054BC">
      <w:pPr>
        <w:pStyle w:val="ListParagraph"/>
        <w:numPr>
          <w:ilvl w:val="0"/>
          <w:numId w:val="3"/>
        </w:numPr>
        <w:rPr>
          <w:i/>
        </w:rPr>
      </w:pPr>
      <w:r>
        <w:rPr>
          <w:i/>
        </w:rPr>
        <w:t>(Additional info)</w:t>
      </w:r>
      <w:r w:rsidR="00B054BC">
        <w:t xml:space="preserve"> </w:t>
      </w:r>
      <w:r>
        <w:t xml:space="preserve">is extra </w:t>
      </w:r>
      <w:r w:rsidR="00B054BC">
        <w:t xml:space="preserve">information </w:t>
      </w:r>
      <w:r>
        <w:t xml:space="preserve">to assist the reader in interpreting the values in the field. It should be </w:t>
      </w:r>
      <w:r w:rsidR="006B10EE">
        <w:t>with</w:t>
      </w:r>
      <w:r>
        <w:t xml:space="preserve">in </w:t>
      </w:r>
      <w:r w:rsidR="006B10EE">
        <w:t xml:space="preserve">a single set of round </w:t>
      </w:r>
      <w:r>
        <w:t>brackets</w:t>
      </w:r>
      <w:r w:rsidR="006B10EE">
        <w:t xml:space="preserve">, and may </w:t>
      </w:r>
      <w:r>
        <w:t>include measurement units</w:t>
      </w:r>
      <w:r w:rsidR="006B10EE">
        <w:t xml:space="preserve"> for numeric fields</w:t>
      </w:r>
      <w:r>
        <w:t>, time-zones for date</w:t>
      </w:r>
      <w:r w:rsidR="0007707A">
        <w:t>/time</w:t>
      </w:r>
      <w:r>
        <w:t xml:space="preserve"> fields</w:t>
      </w:r>
      <w:r w:rsidR="006B10EE">
        <w:t>,</w:t>
      </w:r>
      <w:r>
        <w:t xml:space="preserve"> </w:t>
      </w:r>
      <w:r w:rsidR="000B5FBE">
        <w:t>or for cross-tab style tables with multiple similar fields having different definitions or applicability (e.g. “Maximum Demand (</w:t>
      </w:r>
      <w:r w:rsidR="0009471F">
        <w:t>any time</w:t>
      </w:r>
      <w:r w:rsidR="000B5FBE">
        <w:t>)”</w:t>
      </w:r>
      <w:r w:rsidR="0009471F">
        <w:t xml:space="preserve">, </w:t>
      </w:r>
      <w:r w:rsidR="000B5FBE">
        <w:t xml:space="preserve"> </w:t>
      </w:r>
      <w:r w:rsidR="0009471F">
        <w:t>“Maximum Demand (7am-10pm)”</w:t>
      </w:r>
      <w:r w:rsidR="000B5FBE">
        <w:t>)</w:t>
      </w:r>
      <w:r>
        <w:t xml:space="preserve">. </w:t>
      </w:r>
      <w:r w:rsidR="0007707A">
        <w:t>M</w:t>
      </w:r>
      <w:r w:rsidR="006E6344">
        <w:t xml:space="preserve">ultiple </w:t>
      </w:r>
      <w:r w:rsidR="0007707A">
        <w:t>elements separated by commas</w:t>
      </w:r>
      <w:r w:rsidR="00F2440D">
        <w:t xml:space="preserve">, abbreviations </w:t>
      </w:r>
      <w:r w:rsidR="0007707A">
        <w:t xml:space="preserve">may be </w:t>
      </w:r>
      <w:r w:rsidR="00F2440D">
        <w:t>used</w:t>
      </w:r>
      <w:r w:rsidR="0007707A">
        <w:t>.</w:t>
      </w:r>
      <w:r w:rsidR="006E6344">
        <w:t xml:space="preserve"> </w:t>
      </w:r>
      <w:r w:rsidR="0007707A">
        <w:t xml:space="preserve">Additional info </w:t>
      </w:r>
      <w:r w:rsidR="006E6344">
        <w:t>should only be present if likely to aid user interpretation</w:t>
      </w:r>
      <w:r w:rsidR="0007707A">
        <w:t>. Should not use special symbols that are difficult to type (e.g. “(deg. C)”, not “(</w:t>
      </w:r>
      <w:r w:rsidR="0007707A">
        <w:rPr>
          <w:rFonts w:ascii="Arial" w:hAnsi="Arial" w:cs="Arial"/>
        </w:rPr>
        <w:t>ºC)</w:t>
      </w:r>
      <w:r w:rsidR="0007707A">
        <w:t>”</w:t>
      </w:r>
    </w:p>
    <w:p w:rsidR="006E6344" w:rsidRDefault="006E6344" w:rsidP="00B054BC">
      <w:pPr>
        <w:pStyle w:val="ListParagraph"/>
        <w:numPr>
          <w:ilvl w:val="0"/>
          <w:numId w:val="3"/>
        </w:numPr>
      </w:pPr>
      <w:r w:rsidRPr="006E6344">
        <w:t>Examples</w:t>
      </w:r>
      <w:r w:rsidR="00F24E9A">
        <w:t xml:space="preserve">: “Wind Speed </w:t>
      </w:r>
      <w:r w:rsidR="0007707A">
        <w:t>(m/s)</w:t>
      </w:r>
      <w:r>
        <w:t>”, “</w:t>
      </w:r>
      <w:r w:rsidR="0009471F">
        <w:t>Total Cost</w:t>
      </w:r>
      <w:r w:rsidR="00F24E9A">
        <w:t xml:space="preserve"> </w:t>
      </w:r>
      <w:r w:rsidR="0007707A">
        <w:t>(</w:t>
      </w:r>
      <w:r w:rsidR="0009471F">
        <w:t>$</w:t>
      </w:r>
      <w:r w:rsidR="0007707A">
        <w:t>)</w:t>
      </w:r>
      <w:r>
        <w:t>”, “Spot</w:t>
      </w:r>
      <w:r w:rsidR="000B5FBE">
        <w:t xml:space="preserve"> </w:t>
      </w:r>
      <w:r>
        <w:t>Price</w:t>
      </w:r>
      <w:r w:rsidR="0007707A">
        <w:t xml:space="preserve"> ($/</w:t>
      </w:r>
      <w:proofErr w:type="spellStart"/>
      <w:r w:rsidR="0007707A">
        <w:t>MWh</w:t>
      </w:r>
      <w:proofErr w:type="spellEnd"/>
      <w:r w:rsidR="0007707A">
        <w:t>)</w:t>
      </w:r>
      <w:r>
        <w:t>”</w:t>
      </w:r>
      <w:r w:rsidR="00E25928">
        <w:t>,”Last</w:t>
      </w:r>
      <w:r w:rsidR="00ED5D86">
        <w:t xml:space="preserve"> </w:t>
      </w:r>
      <w:r w:rsidR="00E25928">
        <w:t>Modified</w:t>
      </w:r>
      <w:r w:rsidR="00ED5D86">
        <w:t xml:space="preserve"> Date</w:t>
      </w:r>
      <w:r w:rsidR="00E25928">
        <w:t>”</w:t>
      </w:r>
      <w:r w:rsidR="00ED5D86">
        <w:t xml:space="preserve">, </w:t>
      </w:r>
      <w:r w:rsidR="000B5FBE">
        <w:t>“Local Time (Vic.)”</w:t>
      </w:r>
    </w:p>
    <w:p w:rsidR="00ED5D86" w:rsidRPr="006E6344" w:rsidRDefault="00ED5D86" w:rsidP="00ED5D86">
      <w:r>
        <w:t xml:space="preserve">Any field that is not </w:t>
      </w:r>
      <w:r w:rsidR="00853E72">
        <w:t xml:space="preserve">intended </w:t>
      </w:r>
      <w:r>
        <w:t xml:space="preserve">to appear in a </w:t>
      </w:r>
      <w:r w:rsidR="00853E72">
        <w:t xml:space="preserve">report to an external audience need not adhere to the guidelines above. For example </w:t>
      </w:r>
      <w:r>
        <w:t>a</w:t>
      </w:r>
      <w:r w:rsidR="00853E72">
        <w:t>n</w:t>
      </w:r>
      <w:r>
        <w:t xml:space="preserve"> </w:t>
      </w:r>
      <w:r w:rsidR="00853E72">
        <w:t xml:space="preserve">integer </w:t>
      </w:r>
      <w:r>
        <w:t xml:space="preserve">foreign key field </w:t>
      </w:r>
      <w:r w:rsidR="00853E72">
        <w:t xml:space="preserve">that </w:t>
      </w:r>
      <w:r>
        <w:t>link</w:t>
      </w:r>
      <w:r w:rsidR="00853E72">
        <w:t xml:space="preserve">s to a “region” dimension table may be labelled </w:t>
      </w:r>
      <w:proofErr w:type="spellStart"/>
      <w:r w:rsidR="00853E72">
        <w:t>RegionID</w:t>
      </w:r>
      <w:proofErr w:type="spellEnd"/>
      <w:r w:rsidR="00853E72">
        <w:t xml:space="preserve">. </w:t>
      </w:r>
    </w:p>
    <w:sectPr w:rsidR="00ED5D86" w:rsidRPr="006E6344" w:rsidSect="00282F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6F525A"/>
    <w:multiLevelType w:val="hybridMultilevel"/>
    <w:tmpl w:val="0ABAF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FFE14FB"/>
    <w:multiLevelType w:val="hybridMultilevel"/>
    <w:tmpl w:val="AB5C9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6E701633"/>
    <w:multiLevelType w:val="hybridMultilevel"/>
    <w:tmpl w:val="AF086E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6FD466EA"/>
    <w:multiLevelType w:val="hybridMultilevel"/>
    <w:tmpl w:val="934429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412"/>
    <w:rsid w:val="000655FE"/>
    <w:rsid w:val="0007707A"/>
    <w:rsid w:val="00080DEA"/>
    <w:rsid w:val="000900F3"/>
    <w:rsid w:val="0009471F"/>
    <w:rsid w:val="000A659B"/>
    <w:rsid w:val="000B5FBE"/>
    <w:rsid w:val="00217E3E"/>
    <w:rsid w:val="00282F0B"/>
    <w:rsid w:val="00292C48"/>
    <w:rsid w:val="002B0AB9"/>
    <w:rsid w:val="002C532B"/>
    <w:rsid w:val="004902CA"/>
    <w:rsid w:val="004C142B"/>
    <w:rsid w:val="004C6942"/>
    <w:rsid w:val="004E4B69"/>
    <w:rsid w:val="00667B52"/>
    <w:rsid w:val="00680EE3"/>
    <w:rsid w:val="006B10EE"/>
    <w:rsid w:val="006E6344"/>
    <w:rsid w:val="00716024"/>
    <w:rsid w:val="00722085"/>
    <w:rsid w:val="007C5C4B"/>
    <w:rsid w:val="00853E72"/>
    <w:rsid w:val="008562D2"/>
    <w:rsid w:val="008627A2"/>
    <w:rsid w:val="00876F0C"/>
    <w:rsid w:val="008A3412"/>
    <w:rsid w:val="00925B6F"/>
    <w:rsid w:val="00A03684"/>
    <w:rsid w:val="00B054BC"/>
    <w:rsid w:val="00B27824"/>
    <w:rsid w:val="00BA6B6F"/>
    <w:rsid w:val="00BB42A2"/>
    <w:rsid w:val="00DB427C"/>
    <w:rsid w:val="00E02FFA"/>
    <w:rsid w:val="00E25928"/>
    <w:rsid w:val="00E34D2C"/>
    <w:rsid w:val="00ED5D86"/>
    <w:rsid w:val="00EE1616"/>
    <w:rsid w:val="00EF2E86"/>
    <w:rsid w:val="00EF6789"/>
    <w:rsid w:val="00F2440D"/>
    <w:rsid w:val="00F24E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BBBA8-5466-48D3-912B-C70BD1F4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80E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0E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EE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80EE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BA6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42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3</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Dodds</dc:creator>
  <cp:keywords/>
  <dc:description/>
  <cp:lastModifiedBy>Andrew Dodds</cp:lastModifiedBy>
  <cp:revision>23</cp:revision>
  <dcterms:created xsi:type="dcterms:W3CDTF">2015-02-25T23:30:00Z</dcterms:created>
  <dcterms:modified xsi:type="dcterms:W3CDTF">2015-02-27T06:18:00Z</dcterms:modified>
</cp:coreProperties>
</file>