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000000"/>
        </w:rPr>
        <w:t>AllYourBase Build Plan</w:t>
      </w:r>
    </w:p>
    <w:p>
      <w:pPr/>
      <w:r>
        <w:t>Updated 14 October 2026 · Original plan 12 October 2026 · Savvas</w:t>
      </w:r>
    </w:p>
    <w:p>
      <w:pPr>
        <w:pStyle w:val="Heading2"/>
      </w:pPr>
      <w:r>
        <w:t>Implementation progress</w:t>
      </w:r>
    </w:p>
    <w:p>
      <w:pPr>
        <w:pStyle w:val="PlanUpdate"/>
      </w:pPr>
      <w:r>
        <w:t>Phase 0 is merged. Primary optical and radar access now pass for the approved Russian pilot. Phase 1 remains in draft until its backup optical read passes; activity analysis, review and the website are later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6336"/>
      </w:tblGrid>
      <w:tr>
        <w:trPr>
          <w:tblHeader/>
        </w:trPr>
        <w:tc>
          <w:tcPr>
            <w:tcW w:type="dxa" w:w="1512"/>
            <w:vAlign w:val="center"/>
            <w:tcMar>
              <w:top w:w="80" w:type="dxa"/>
              <w:left w:w="80" w:type="dxa"/>
              <w:bottom w:w="80" w:type="dxa"/>
              <w:right w:w="80" w:type="dxa"/>
            </w:tcMar>
            <w:shd w:fill="E8EDF2"/>
          </w:tcPr>
          <w:p>
            <w:pPr>
              <w:pStyle w:val="PlanUpdate"/>
              <w:spacing w:after="40"/>
            </w:pPr>
            <w:r>
              <w:rPr>
                <w:b/>
                <w:color w:val="000000"/>
                <w:sz w:val="19"/>
              </w:rPr>
              <w:t>Milestone</w:t>
            </w:r>
          </w:p>
        </w:tc>
        <w:tc>
          <w:tcPr>
            <w:tcW w:type="dxa" w:w="1512"/>
            <w:vAlign w:val="center"/>
            <w:tcMar>
              <w:top w:w="80" w:type="dxa"/>
              <w:left w:w="80" w:type="dxa"/>
              <w:bottom w:w="80" w:type="dxa"/>
              <w:right w:w="80" w:type="dxa"/>
            </w:tcMar>
            <w:shd w:fill="E8EDF2"/>
          </w:tcPr>
          <w:p>
            <w:pPr>
              <w:pStyle w:val="PlanUpdate"/>
              <w:spacing w:after="40"/>
            </w:pPr>
            <w:r>
              <w:rPr>
                <w:b/>
                <w:color w:val="000000"/>
                <w:sz w:val="19"/>
              </w:rPr>
              <w:t>Status</w:t>
            </w:r>
          </w:p>
        </w:tc>
        <w:tc>
          <w:tcPr>
            <w:tcW w:type="dxa" w:w="6336"/>
            <w:vAlign w:val="center"/>
            <w:tcMar>
              <w:top w:w="80" w:type="dxa"/>
              <w:left w:w="80" w:type="dxa"/>
              <w:bottom w:w="80" w:type="dxa"/>
              <w:right w:w="80" w:type="dxa"/>
            </w:tcMar>
            <w:shd w:fill="E8EDF2"/>
          </w:tcPr>
          <w:p>
            <w:pPr>
              <w:pStyle w:val="PlanUpdate"/>
              <w:spacing w:after="40"/>
            </w:pPr>
            <w:r>
              <w:rPr>
                <w:b/>
                <w:color w:val="000000"/>
                <w:sz w:val="19"/>
              </w:rPr>
              <w:t>What is implemented</w:t>
            </w:r>
          </w:p>
        </w:tc>
      </w:tr>
      <w:tr>
        <w:tc>
          <w:tcPr>
            <w:tcW w:type="dxa" w:w="1512"/>
            <w:vAlign w:val="center"/>
            <w:tcMar>
              <w:top w:w="80" w:type="dxa"/>
              <w:left w:w="80" w:type="dxa"/>
              <w:bottom w:w="80" w:type="dxa"/>
              <w:right w:w="80" w:type="dxa"/>
            </w:tcMar>
          </w:tcPr>
          <w:p>
            <w:pPr>
              <w:pStyle w:val="PlanUpdate"/>
              <w:spacing w:after="40"/>
            </w:pPr>
            <w:r>
              <w:rPr>
                <w:b w:val="0"/>
                <w:color w:val="000000"/>
                <w:sz w:val="19"/>
              </w:rPr>
              <w:t>Phase 0</w:t>
            </w:r>
          </w:p>
        </w:tc>
        <w:tc>
          <w:tcPr>
            <w:tcW w:type="dxa" w:w="1512"/>
            <w:vAlign w:val="center"/>
            <w:tcMar>
              <w:top w:w="80" w:type="dxa"/>
              <w:left w:w="80" w:type="dxa"/>
              <w:bottom w:w="80" w:type="dxa"/>
              <w:right w:w="80" w:type="dxa"/>
            </w:tcMar>
          </w:tcPr>
          <w:p>
            <w:pPr>
              <w:pStyle w:val="PlanUpdate"/>
              <w:spacing w:after="40"/>
            </w:pPr>
            <w:r>
              <w:rPr>
                <w:b w:val="0"/>
                <w:color w:val="000000"/>
                <w:sz w:val="19"/>
              </w:rPr>
              <w:t>Complete</w:t>
            </w:r>
          </w:p>
        </w:tc>
        <w:tc>
          <w:tcPr>
            <w:tcW w:type="dxa" w:w="6336"/>
            <w:vAlign w:val="center"/>
            <w:tcMar>
              <w:top w:w="80" w:type="dxa"/>
              <w:left w:w="80" w:type="dxa"/>
              <w:bottom w:w="80" w:type="dxa"/>
              <w:right w:w="80" w:type="dxa"/>
            </w:tcMar>
          </w:tcPr>
          <w:p>
            <w:pPr>
              <w:pStyle w:val="PlanUpdate"/>
              <w:spacing w:after="40"/>
            </w:pPr>
            <w:r>
              <w:rPr>
                <w:b w:val="0"/>
                <w:color w:val="000000"/>
                <w:sz w:val="19"/>
              </w:rPr>
              <w:t>Python/uv foundation, CLI, contracts, schemas, catalogue checks and ISO-week planning. PR 1 merged.</w:t>
            </w:r>
          </w:p>
        </w:tc>
      </w:tr>
      <w:tr>
        <w:tc>
          <w:tcPr>
            <w:tcW w:type="dxa" w:w="1512"/>
            <w:vAlign w:val="center"/>
            <w:tcMar>
              <w:top w:w="80" w:type="dxa"/>
              <w:left w:w="80" w:type="dxa"/>
              <w:bottom w:w="80" w:type="dxa"/>
              <w:right w:w="80" w:type="dxa"/>
            </w:tcMar>
          </w:tcPr>
          <w:p>
            <w:pPr>
              <w:pStyle w:val="PlanUpdate"/>
              <w:spacing w:after="40"/>
            </w:pPr>
            <w:r>
              <w:rPr>
                <w:b w:val="0"/>
                <w:color w:val="000000"/>
                <w:sz w:val="19"/>
              </w:rPr>
              <w:t>Phase 1</w:t>
            </w:r>
          </w:p>
        </w:tc>
        <w:tc>
          <w:tcPr>
            <w:tcW w:type="dxa" w:w="1512"/>
            <w:vAlign w:val="center"/>
            <w:tcMar>
              <w:top w:w="80" w:type="dxa"/>
              <w:left w:w="80" w:type="dxa"/>
              <w:bottom w:w="80" w:type="dxa"/>
              <w:right w:w="80" w:type="dxa"/>
            </w:tcMar>
          </w:tcPr>
          <w:p>
            <w:pPr>
              <w:pStyle w:val="PlanUpdate"/>
              <w:spacing w:after="40"/>
            </w:pPr>
            <w:r>
              <w:rPr>
                <w:b w:val="0"/>
                <w:color w:val="000000"/>
                <w:sz w:val="19"/>
              </w:rPr>
              <w:t>Partial</w:t>
            </w:r>
          </w:p>
        </w:tc>
        <w:tc>
          <w:tcPr>
            <w:tcW w:type="dxa" w:w="6336"/>
            <w:vAlign w:val="center"/>
            <w:tcMar>
              <w:top w:w="80" w:type="dxa"/>
              <w:left w:w="80" w:type="dxa"/>
              <w:bottom w:w="80" w:type="dxa"/>
              <w:right w:w="80" w:type="dxa"/>
            </w:tcMar>
          </w:tcPr>
          <w:p>
            <w:pPr>
              <w:pStyle w:val="PlanUpdate"/>
              <w:spacing w:after="40"/>
            </w:pPr>
            <w:r>
              <w:rPr>
                <w:b w:val="0"/>
                <w:color w:val="000000"/>
                <w:sz w:val="19"/>
              </w:rPr>
              <w:t>Four-provider discovery, primary optical/radar windows, provenance checks and measured usage. CDSE optical S3 read pending.</w:t>
            </w:r>
          </w:p>
        </w:tc>
      </w:tr>
      <w:tr>
        <w:tc>
          <w:tcPr>
            <w:tcW w:type="dxa" w:w="1512"/>
            <w:vAlign w:val="center"/>
            <w:tcMar>
              <w:top w:w="80" w:type="dxa"/>
              <w:left w:w="80" w:type="dxa"/>
              <w:bottom w:w="80" w:type="dxa"/>
              <w:right w:w="80" w:type="dxa"/>
            </w:tcMar>
          </w:tcPr>
          <w:p>
            <w:pPr>
              <w:pStyle w:val="PlanUpdate"/>
              <w:spacing w:after="40"/>
            </w:pPr>
            <w:r>
              <w:rPr>
                <w:b w:val="0"/>
                <w:color w:val="000000"/>
                <w:sz w:val="19"/>
              </w:rPr>
              <w:t>Phase 2</w:t>
            </w:r>
          </w:p>
        </w:tc>
        <w:tc>
          <w:tcPr>
            <w:tcW w:type="dxa" w:w="1512"/>
            <w:vAlign w:val="center"/>
            <w:tcMar>
              <w:top w:w="80" w:type="dxa"/>
              <w:left w:w="80" w:type="dxa"/>
              <w:bottom w:w="80" w:type="dxa"/>
              <w:right w:w="80" w:type="dxa"/>
            </w:tcMar>
          </w:tcPr>
          <w:p>
            <w:pPr>
              <w:pStyle w:val="PlanUpdate"/>
              <w:spacing w:after="40"/>
            </w:pPr>
            <w:r>
              <w:rPr>
                <w:b w:val="0"/>
                <w:color w:val="000000"/>
                <w:sz w:val="19"/>
              </w:rPr>
              <w:t>Contracts done</w:t>
            </w:r>
          </w:p>
        </w:tc>
        <w:tc>
          <w:tcPr>
            <w:tcW w:type="dxa" w:w="6336"/>
            <w:vAlign w:val="center"/>
            <w:tcMar>
              <w:top w:w="80" w:type="dxa"/>
              <w:left w:w="80" w:type="dxa"/>
              <w:bottom w:w="80" w:type="dxa"/>
              <w:right w:w="80" w:type="dxa"/>
            </w:tcMar>
          </w:tcPr>
          <w:p>
            <w:pPr>
              <w:pStyle w:val="PlanUpdate"/>
              <w:spacing w:after="40"/>
            </w:pPr>
            <w:r>
              <w:rPr>
                <w:b w:val="0"/>
                <w:color w:val="000000"/>
                <w:sz w:val="19"/>
              </w:rPr>
              <w:t>Schemas exist; production catalogue is empty. Ingestion, matching and review queue remain future work.</w:t>
            </w:r>
          </w:p>
        </w:tc>
      </w:tr>
      <w:tr>
        <w:tc>
          <w:tcPr>
            <w:tcW w:type="dxa" w:w="1512"/>
            <w:vAlign w:val="center"/>
            <w:tcMar>
              <w:top w:w="80" w:type="dxa"/>
              <w:left w:w="80" w:type="dxa"/>
              <w:bottom w:w="80" w:type="dxa"/>
              <w:right w:w="80" w:type="dxa"/>
            </w:tcMar>
          </w:tcPr>
          <w:p>
            <w:pPr>
              <w:pStyle w:val="PlanUpdate"/>
              <w:spacing w:after="40"/>
            </w:pPr>
            <w:r>
              <w:rPr>
                <w:b w:val="0"/>
                <w:color w:val="000000"/>
                <w:sz w:val="19"/>
              </w:rPr>
              <w:t>Phase 3</w:t>
            </w:r>
          </w:p>
        </w:tc>
        <w:tc>
          <w:tcPr>
            <w:tcW w:type="dxa" w:w="1512"/>
            <w:vAlign w:val="center"/>
            <w:tcMar>
              <w:top w:w="80" w:type="dxa"/>
              <w:left w:w="80" w:type="dxa"/>
              <w:bottom w:w="80" w:type="dxa"/>
              <w:right w:w="80" w:type="dxa"/>
            </w:tcMar>
          </w:tcPr>
          <w:p>
            <w:pPr>
              <w:pStyle w:val="PlanUpdate"/>
              <w:spacing w:after="40"/>
            </w:pPr>
            <w:r>
              <w:rPr>
                <w:b w:val="0"/>
                <w:color w:val="000000"/>
                <w:sz w:val="19"/>
              </w:rPr>
              <w:t>Prototypes</w:t>
            </w:r>
          </w:p>
        </w:tc>
        <w:tc>
          <w:tcPr>
            <w:tcW w:type="dxa" w:w="6336"/>
            <w:vAlign w:val="center"/>
            <w:tcMar>
              <w:top w:w="80" w:type="dxa"/>
              <w:left w:w="80" w:type="dxa"/>
              <w:bottom w:w="80" w:type="dxa"/>
              <w:right w:w="80" w:type="dxa"/>
            </w:tcMar>
          </w:tcPr>
          <w:p>
            <w:pPr>
              <w:pStyle w:val="PlanUpdate"/>
              <w:spacing w:after="40"/>
            </w:pPr>
            <w:r>
              <w:rPr>
                <w:b w:val="0"/>
                <w:color w:val="000000"/>
                <w:sz w:val="19"/>
              </w:rPr>
              <w:t>Radar grids and discovery splitting exist. Shared preprocessing, cache and indicators remain future work.</w:t>
            </w:r>
          </w:p>
        </w:tc>
      </w:tr>
      <w:tr>
        <w:tc>
          <w:tcPr>
            <w:tcW w:type="dxa" w:w="1512"/>
            <w:vAlign w:val="center"/>
            <w:tcMar>
              <w:top w:w="80" w:type="dxa"/>
              <w:left w:w="80" w:type="dxa"/>
              <w:bottom w:w="80" w:type="dxa"/>
              <w:right w:w="80" w:type="dxa"/>
            </w:tcMar>
          </w:tcPr>
          <w:p>
            <w:pPr>
              <w:pStyle w:val="PlanUpdate"/>
              <w:spacing w:after="40"/>
            </w:pPr>
            <w:r>
              <w:rPr>
                <w:b w:val="0"/>
                <w:color w:val="000000"/>
                <w:sz w:val="19"/>
              </w:rPr>
              <w:t>Later phases</w:t>
            </w:r>
          </w:p>
        </w:tc>
        <w:tc>
          <w:tcPr>
            <w:tcW w:type="dxa" w:w="1512"/>
            <w:vAlign w:val="center"/>
            <w:tcMar>
              <w:top w:w="80" w:type="dxa"/>
              <w:left w:w="80" w:type="dxa"/>
              <w:bottom w:w="80" w:type="dxa"/>
              <w:right w:w="80" w:type="dxa"/>
            </w:tcMar>
          </w:tcPr>
          <w:p>
            <w:pPr>
              <w:pStyle w:val="PlanUpdate"/>
              <w:spacing w:after="40"/>
            </w:pPr>
            <w:r>
              <w:rPr>
                <w:b w:val="0"/>
                <w:color w:val="000000"/>
                <w:sz w:val="19"/>
              </w:rPr>
              <w:t>Planned</w:t>
            </w:r>
          </w:p>
        </w:tc>
        <w:tc>
          <w:tcPr>
            <w:tcW w:type="dxa" w:w="6336"/>
            <w:vAlign w:val="center"/>
            <w:tcMar>
              <w:top w:w="80" w:type="dxa"/>
              <w:left w:w="80" w:type="dxa"/>
              <w:bottom w:w="80" w:type="dxa"/>
              <w:right w:w="80" w:type="dxa"/>
            </w:tcMar>
          </w:tcPr>
          <w:p>
            <w:pPr>
              <w:pStyle w:val="PlanUpdate"/>
              <w:spacing w:after="40"/>
            </w:pPr>
            <w:r>
              <w:rPr>
                <w:b w:val="0"/>
                <w:color w:val="000000"/>
                <w:sz w:val="19"/>
              </w:rPr>
              <w:t>Backfill, baselines, scoring, review, Hugo, publication and operations are not implemented.</w:t>
            </w:r>
          </w:p>
        </w:tc>
      </w:tr>
    </w:tbl>
    <w:p>
      <w:pPr>
        <w:pStyle w:val="Heading2"/>
      </w:pPr>
      <w:r>
        <w:t>Verified access</w:t>
      </w:r>
    </w:p>
    <w:p>
      <w:pPr>
        <w:pStyle w:val="PlanUpdate"/>
      </w:pPr>
      <w:r>
        <w:t>The owner approved Chkalovskiy, Engels and Olenya as 4 km test windows on 14 October 2026, replacing the original three-country spike. Eight weeks (2026-W34 to W41) produced 96 site/provider/week rows, 21 optical band TIFFs and three validated radar TIFFs. All 131 tests and project checks pass.</w:t>
      </w:r>
    </w:p>
    <w:p>
      <w:pPr>
        <w:pStyle w:val="Heading2"/>
      </w:pPr>
      <w:r>
        <w:t>Next steps</w:t>
      </w:r>
    </w:p>
    <w:p>
      <w:pPr>
        <w:pStyle w:val="PlanUpdate"/>
      </w:pPr>
      <w:r>
        <w:t>1. Configure separate local CDSE S3 keys and verify seven-band CDSE optical windows at the three approved areas. OAuth already works.</w:t>
      </w:r>
    </w:p>
    <w:p>
      <w:pPr>
        <w:pStyle w:val="PlanUpdate"/>
      </w:pPr>
      <w:r>
        <w:t>2. Record fallback evidence in ADR 0002, finish Phase 1 acceptance and prepare draft PR 2 for review.</w:t>
      </w:r>
    </w:p>
    <w:p>
      <w:pPr>
        <w:pStyle w:val="PlanUpdate"/>
      </w:pPr>
      <w:r>
        <w:t>3. Build Phase 2 source ingestion and the human review queue, then curate a sourced Russian production catalogue.</w:t>
      </w:r>
    </w:p>
    <w:p>
      <w:pPr>
        <w:pStyle w:val="Heading2"/>
      </w:pPr>
      <w:r>
        <w:t>Evidence and limits</w:t>
      </w:r>
    </w:p>
    <w:p>
      <w:pPr>
        <w:pStyle w:val="PlanUpdate"/>
      </w:pPr>
      <w:r>
        <w:t>Repository guides: AGENTS.md and docs/build-plan.md. Evidence: docs/phase-1-live-validation.md and docs/adr/0002-provider-selection.md. Credentials, imagery and full runtime reports remain outside Git. Test windows are not surveyed boundaries; downloads are not detections. Original service/quota/runtime assumptions must be verified before use.</w:t>
      </w:r>
    </w:p>
    <w:p>
      <w:pPr>
        <w:spacing w:after="0"/>
      </w:pPr>
      <w:r>
        <w:br w:type="page"/>
      </w:r>
    </w:p>
    <w:p>
      <w:pPr>
        <w:pStyle w:val="Heading2"/>
      </w:pPr>
      <w:r>
        <w:rPr>
          <w:color w:val="000000"/>
        </w:rPr>
        <w:t>Goal and limits</w:t>
      </w:r>
    </w:p>
    <w:p>
      <w:pPr/>
      <w:r>
        <w:t xml:space="preserve">Build a zero-cost system that processes free Sentinel-2 (optical) and Sentinel-1 (radar) imagery on a local computer (or optionally in Google Colab) every week, scores activity at curated military sites in any country, and uploads only the finished results to a static GitHub Pages website. Each site (airbase, naval base, port, garrison, depot, training area) gets its own page with tags, linked units and equipment, and a small image whenever activity is detected.</w:t>
      </w:r>
    </w:p>
    <w:p>
      <w:pPr/>
      <w:r>
        <w:t xml:space="preserve">Why local: no runner time limits, a full imagery archive on your own disk, credentials that never leave the machine, and a human review of every flag before anything is published.</w:t>
      </w:r>
    </w:p>
    <w:p>
      <w:pPr/>
      <w:r>
        <w:t xml:space="preserve">At 10 m pixels the system measures change and aggregate presence, not identity. Every page must stay inside this envelope: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Realistic at 10 m</w:t>
            </w:r>
          </w:p>
        </w:tc>
        <w:tc>
          <w:tcPr>
            <w:tcW w:w="3120" w:type="dxa"/>
            <w:shd w:val="clear" w:color="auto" w:fill="F2F2F2"/>
          </w:tcPr>
          <w:p>
            <w:pPr/>
            <w:r>
              <w:t xml:space="preserve">Not realistic</w:t>
            </w:r>
          </w:p>
        </w:tc>
      </w:tr>
      <w:tr>
        <w:tc>
          <w:tcPr>
            <w:tcW w:w="3120" w:type="dxa"/>
          </w:tcPr>
          <w:p>
            <w:pPr/>
            <w:r>
              <w:t xml:space="preserve">Aircraft</w:t>
            </w:r>
          </w:p>
        </w:tc>
        <w:tc>
          <w:tcPr>
            <w:tcW w:w="3120" w:type="dxa"/>
          </w:tcPr>
          <w:p>
            <w:pPr/>
            <w:r>
              <w:t xml:space="preserve">Large airframes (bombers, transports, tankers) as blobs on aprons; changes in their count</w:t>
            </w:r>
          </w:p>
        </w:tc>
        <w:tc>
          <w:tcPr>
            <w:tcW w:w="3120" w:type="dxa"/>
          </w:tcPr>
          <w:p>
            <w:pPr/>
            <w:r>
              <w:t xml:space="preserve">Reliable fighter counts (1–2 px); aircraft type; decoy vs real</w:t>
            </w:r>
          </w:p>
        </w:tc>
      </w:tr>
      <w:tr>
        <w:tc>
          <w:tcPr>
            <w:tcW w:w="3120" w:type="dxa"/>
          </w:tcPr>
          <w:p>
            <w:pPr/>
            <w:r>
              <w:t xml:space="preserve">Vehicles</w:t>
            </w:r>
          </w:p>
        </w:tc>
        <w:tc>
          <w:tcPr>
            <w:tcW w:w="3120" w:type="dxa"/>
          </w:tcPr>
          <w:p>
            <w:pPr/>
            <w:r>
              <w:t xml:space="preserve">Fill level of vehicle parks; bright-target clusters in radar</w:t>
            </w:r>
          </w:p>
        </w:tc>
        <w:tc>
          <w:tcPr>
            <w:tcW w:w="3120" w:type="dxa"/>
          </w:tcPr>
          <w:p>
            <w:pPr/>
            <w:r>
              <w:t xml:space="preserve">Individual vehicles or equipment type</w:t>
            </w:r>
          </w:p>
        </w:tc>
      </w:tr>
      <w:tr>
        <w:tc>
          <w:tcPr>
            <w:tcW w:w="3120" w:type="dxa"/>
          </w:tcPr>
          <w:p>
            <w:pPr/>
            <w:r>
              <w:t xml:space="preserve">Ships</w:t>
            </w:r>
          </w:p>
        </w:tc>
        <w:tc>
          <w:tcPr>
            <w:tcW w:w="3120" w:type="dxa"/>
          </w:tcPr>
          <w:p>
            <w:pPr/>
            <w:r>
              <w:t xml:space="preserve">Ships alongside piers and at anchor (radar is strong here)</w:t>
            </w:r>
          </w:p>
        </w:tc>
        <w:tc>
          <w:tcPr>
            <w:tcW w:w="3120" w:type="dxa"/>
          </w:tcPr>
          <w:p>
            <w:pPr/>
            <w:r>
              <w:t xml:space="preserve">Class identification</w:t>
            </w:r>
          </w:p>
        </w:tc>
      </w:tr>
      <w:tr>
        <w:tc>
          <w:tcPr>
            <w:tcW w:w="3120" w:type="dxa"/>
          </w:tcPr>
          <w:p>
            <w:pPr/>
            <w:r>
              <w:t xml:space="preserve">Ground</w:t>
            </w:r>
          </w:p>
        </w:tc>
        <w:tc>
          <w:tcPr>
            <w:tcW w:w="3120" w:type="dxa"/>
          </w:tcPr>
          <w:p>
            <w:pPr/>
            <w:r>
              <w:t xml:space="preserve">New tracks, earthworks, clearing, construction, burn scars</w:t>
            </w:r>
          </w:p>
        </w:tc>
        <w:tc>
          <w:tcPr>
            <w:tcW w:w="3120" w:type="dxa"/>
          </w:tcPr>
          <w:p>
            <w:pPr/>
            <w:r>
              <w:t xml:space="preserve">Small structures, camouflaged positions</w:t>
            </w:r>
          </w:p>
        </w:tc>
      </w:tr>
    </w:tbl>
    <w:p>
      <w:pPr/>
      <w:r>
        <w:t xml:space="preserve">Scope for v1: start with 10–20 sites and design for 100+ across any number of countries; one run per ISO week; rule-based scoring that explains itself. Out of scope for v1: commercial very-high-resolution imagery, near-real-time alerts, and deep-learning object detection.</w:t>
      </w:r>
    </w:p>
    <w:p>
      <w:pPr>
        <w:pStyle w:val="Heading2"/>
      </w:pPr>
      <w:r>
        <w:rPr>
          <w:color w:val="000000"/>
        </w:rPr>
        <w:t>Architecture</w:t>
      </w:r>
    </w:p>
    <w:p>
      <w:pPr/>
      <w:r>
        <w:t xml:space="preserve">All analysis runs on your computer; GitHub only hosts the finished static site.</w:t>
      </w:r>
    </w:p>
    <w:p>
      <w:pPr/>
      <w:r>
        <w:drawing>
          <wp:inline distT="0" distB="0" distL="0" distR="0">
            <wp:extent cx="5486400" cy="3951514"/>
            <wp:docPr id="1" name="image1" descr="local pipeline · 3 inputs, 5 steps, 1 local store, 1 push"/>
            <a:graphic xmlns:a="http://schemas.openxmlformats.org/drawingml/2006/main">
              <a:graphicData uri="http://schemas.openxmlformats.org/drawingml/2006/picture">
                <pic:pic xmlns:pic="http://schemas.openxmlformats.org/drawingml/2006/picture">
                  <pic:nvPicPr>
                    <pic:cNvPr id="1" name="image1" descr="local pipeline · 3 inputs, 5 steps, 1 local store, 1 push"/>
                    <pic:cNvPicPr/>
                  </pic:nvPicPr>
                  <pic:blipFill>
                    <a:blip r:embed="rId3"/>
                    <a:stretch>
                      <a:fillRect/>
                    </a:stretch>
                  </pic:blipFill>
                  <pic:spPr>
                    <a:xfrm>
                      <a:off x="0" y="0"/>
                      <a:ext cx="5486400" cy="3951514"/>
                    </a:xfrm>
                    <a:prstGeom prst="rect">
                      <a:avLst/>
                    </a:prstGeom>
                  </pic:spPr>
                </pic:pic>
              </a:graphicData>
            </a:graphic>
          </wp:inline>
        </w:drawing>
      </w:r>
    </w:p>
    <w:p>
      <w:pPr/>
      <w:r>
        <w:t xml:space="preserve">local pipeline · 3 inputs, 5 steps, 1 local store, 1 push</w:t>
      </w:r>
    </w:p>
    <w:p>
      <w:pPr/>
      <w:r>
        <w:t xml:space="preserve">Raw imagery, credentials and unreviewed flags never reach GitHub. The weekly push carries HTML, JSON and the small activity images that passed review. The same run can execute in Google Colab instead, with the workspace on Google Drive (see Running on Google Colab).</w:t>
      </w:r>
    </w:p>
    <w:p>
      <w:pPr>
        <w:pStyle w:val="Heading2"/>
      </w:pPr>
      <w:r>
        <w:rPr>
          <w:color w:val="000000"/>
        </w:rPr>
        <w:t>Data sources and access</w:t>
      </w:r>
    </w:p>
    <w:p>
      <w:pPr/>
      <w:r>
        <w:t xml:space="preserve">Sentinel-1 is the backbone of the weekly signal because radar sees through cloud and darkness; Sentinel-2 adds interpretable pictures when skies clear. Use STAC for discovery, read only the AOI window, and keep every provider behind one interface so a failing source can be swapped without touching analysis code.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w:t>
            </w:r>
          </w:p>
        </w:tc>
        <w:tc>
          <w:tcPr>
            <w:tcW w:w="2340" w:type="dxa"/>
            <w:shd w:val="clear" w:color="auto" w:fill="F2F2F2"/>
          </w:tcPr>
          <w:p>
            <w:pPr/>
            <w:r>
              <w:t xml:space="preserve">Primary</w:t>
            </w:r>
          </w:p>
        </w:tc>
        <w:tc>
          <w:tcPr>
            <w:tcW w:w="2340" w:type="dxa"/>
            <w:shd w:val="clear" w:color="auto" w:fill="F2F2F2"/>
          </w:tcPr>
          <w:p>
            <w:pPr/>
            <w:r>
              <w:t xml:space="preserve">Fallback</w:t>
            </w:r>
          </w:p>
        </w:tc>
        <w:tc>
          <w:tcPr>
            <w:tcW w:w="2340" w:type="dxa"/>
            <w:shd w:val="clear" w:color="auto" w:fill="F2F2F2"/>
          </w:tcPr>
          <w:p>
            <w:pPr/>
            <w:r>
              <w:t xml:space="preserve">Auth</w:t>
            </w:r>
          </w:p>
        </w:tc>
      </w:tr>
      <w:tr>
        <w:tc>
          <w:tcPr>
            <w:tcW w:w="2340" w:type="dxa"/>
          </w:tcPr>
          <w:p>
            <w:pPr/>
            <w:r>
              <w:t xml:space="preserve">Sentinel-2 L2A search and pixels</w:t>
            </w:r>
          </w:p>
        </w:tc>
        <w:tc>
          <w:tcPr>
            <w:tcW w:w="2340" w:type="dxa"/>
          </w:tcPr>
          <w:p>
            <w:pPr/>
            <w:hyperlink r:id="rId4" w:history="1">
              <w:r>
                <w:rPr>
                  <w:rStyle w:val="Hyperlink"/>
                </w:rPr>
                <w:t xml:space="preserve">Earth Search</w:t>
              </w:r>
            </w:hyperlink>
            <w:r>
              <w:t xml:space="preserve"> collection </w:t>
            </w:r>
            <w:r>
              <w:rPr>
                <w:rStyle w:val="CodeChar"/>
              </w:rPr>
              <w:t xml:space="preserve">sentinel-2-c1-l2a</w:t>
            </w:r>
            <w:r>
              <w:t xml:space="preserve"> (COGs on AWS)</w:t>
            </w:r>
          </w:p>
        </w:tc>
        <w:tc>
          <w:tcPr>
            <w:tcW w:w="2340" w:type="dxa"/>
          </w:tcPr>
          <w:p>
            <w:pPr/>
            <w:hyperlink r:id="rId5" w:history="1">
              <w:r>
                <w:rPr>
                  <w:rStyle w:val="Hyperlink"/>
                </w:rPr>
                <w:t xml:space="preserve">CDSE STAC</w:t>
              </w:r>
            </w:hyperlink>
            <w:r>
              <w:t xml:space="preserve"> </w:t>
            </w:r>
            <w:r>
              <w:rPr>
                <w:rStyle w:val="CodeChar"/>
              </w:rPr>
              <w:t xml:space="preserve">sentinel-2-l2a</w:t>
            </w:r>
            <w:r>
              <w:t xml:space="preserve"> at </w:t>
            </w:r>
            <w:r>
              <w:rPr>
                <w:rStyle w:val="CodeChar"/>
              </w:rPr>
              <w:t xml:space="preserve">stac.dataspace.copernicus.eu/v1</w:t>
            </w:r>
          </w:p>
        </w:tc>
        <w:tc>
          <w:tcPr>
            <w:tcW w:w="2340" w:type="dxa"/>
          </w:tcPr>
          <w:p>
            <w:pPr/>
            <w:r>
              <w:t xml:space="preserve">None / CDSE S3 keys</w:t>
            </w:r>
          </w:p>
        </w:tc>
      </w:tr>
      <w:tr>
        <w:tc>
          <w:tcPr>
            <w:tcW w:w="2340" w:type="dxa"/>
          </w:tcPr>
          <w:p>
            <w:pPr/>
            <w:r>
              <w:t xml:space="preserve">Sentinel-1 backscatter</w:t>
            </w:r>
          </w:p>
        </w:tc>
        <w:tc>
          <w:tcPr>
            <w:tcW w:w="2340" w:type="dxa"/>
          </w:tcPr>
          <w:p>
            <w:pPr/>
            <w:hyperlink r:id="rId6" w:history="1">
              <w:r>
                <w:rPr>
                  <w:rStyle w:val="Hyperlink"/>
                </w:rPr>
                <w:t xml:space="preserve">CDSE Sentinel Hub Process API</w:t>
              </w:r>
            </w:hyperlink>
            <w:r>
              <w:t xml:space="preserve">, </w:t>
            </w:r>
            <w:r>
              <w:rPr>
                <w:rStyle w:val="CodeChar"/>
              </w:rPr>
              <w:t xml:space="preserve">sentinel-1-grd</w:t>
            </w:r>
            <w:r>
              <w:t xml:space="preserve"> with </w:t>
            </w:r>
            <w:r>
              <w:rPr>
                <w:rStyle w:val="CodeChar"/>
              </w:rPr>
              <w:t xml:space="preserve">backCoeff: GAMMA0_TERRAIN</w:t>
            </w:r>
            <w:r>
              <w:t xml:space="preserve">, </w:t>
            </w:r>
            <w:r>
              <w:rPr>
                <w:rStyle w:val="CodeChar"/>
              </w:rPr>
              <w:t xml:space="preserve">orthorectify: true</w:t>
            </w:r>
            <w:r>
              <w:t xml:space="preserve">, </w:t>
            </w:r>
            <w:r>
              <w:rPr>
                <w:rStyle w:val="CodeChar"/>
              </w:rPr>
              <w:t xml:space="preserve">demInstance: COPERNICUS_30</w:t>
            </w:r>
            <w:r>
              <w:t xml:space="preserve">, resolution </w:t>
            </w:r>
            <w:r>
              <w:rPr>
                <w:rStyle w:val="CodeChar"/>
              </w:rPr>
              <w:t xml:space="preserve">HIGH</w:t>
            </w:r>
            <w:r>
              <w:t xml:space="preserve"> (10 m)</w:t>
            </w:r>
          </w:p>
        </w:tc>
        <w:tc>
          <w:tcPr>
            <w:tcW w:w="2340" w:type="dxa"/>
          </w:tcPr>
          <w:p>
            <w:pPr/>
            <w:r>
              <w:t xml:space="preserve">Planetary Computer </w:t>
            </w:r>
            <w:r>
              <w:rPr>
                <w:rStyle w:val="CodeChar"/>
              </w:rPr>
              <w:t xml:space="preserve">sentinel-1-rtc</w:t>
            </w:r>
            <w:r>
              <w:t xml:space="preserve"> (check coverage in Phase 1); last resort GRD plus local terrain correction</w:t>
            </w:r>
          </w:p>
        </w:tc>
        <w:tc>
          <w:tcPr>
            <w:tcW w:w="2340" w:type="dxa"/>
          </w:tcPr>
          <w:p>
            <w:pPr/>
            <w:r>
              <w:t xml:space="preserve">CDSE OAuth client</w:t>
            </w:r>
          </w:p>
        </w:tc>
      </w:tr>
      <w:tr>
        <w:tc>
          <w:tcPr>
            <w:tcW w:w="2340" w:type="dxa"/>
          </w:tcPr>
          <w:p>
            <w:pPr/>
            <w:r>
              <w:t xml:space="preserve">Terrain</w:t>
            </w:r>
          </w:p>
        </w:tc>
        <w:tc>
          <w:tcPr>
            <w:tcW w:w="2340" w:type="dxa"/>
          </w:tcPr>
          <w:p>
            <w:pPr/>
            <w:r>
              <w:t xml:space="preserve">Copernicus DEM GLO-30</w:t>
            </w:r>
          </w:p>
        </w:tc>
        <w:tc>
          <w:tcPr>
            <w:tcW w:w="2340" w:type="dxa"/>
          </w:tcPr>
          <w:p>
            <w:pPr/>
            <w:r>
              <w:t xml:space="preserve">—</w:t>
            </w:r>
          </w:p>
        </w:tc>
        <w:tc>
          <w:tcPr>
            <w:tcW w:w="2340" w:type="dxa"/>
          </w:tcPr>
          <w:p>
            <w:pPr/>
            <w:r>
              <w:t xml:space="preserve">—</w:t>
            </w:r>
          </w:p>
        </w:tc>
      </w:tr>
    </w:tbl>
    <w:p>
      <w:pPr/>
      <w:r>
        <w:t xml:space="preserve">Provider notes:</w:t>
      </w:r>
    </w:p>
    <w:p>
      <w:pPr>
        <w:pStyle w:val="ListParagraph"/>
        <w:numPr>
          <w:ilvl w:val="0"/>
          <w:numId w:val="2"/>
        </w:numPr>
      </w:pPr>
      <w:r>
        <w:t xml:space="preserve">Request both co- and cross-polarisation (VV+VH, or HH+HV where a region is imaged that way, common near the poles) plus </w:t>
      </w:r>
      <w:r>
        <w:rPr>
          <w:rStyle w:val="CodeChar"/>
        </w:rPr>
        <w:t xml:space="preserve">shadowMask</w:t>
      </w:r>
      <w:r>
        <w:t xml:space="preserve"> and </w:t>
      </w:r>
      <w:r>
        <w:rPr>
          <w:rStyle w:val="CodeChar"/>
        </w:rPr>
        <w:t xml:space="preserve">dataMask</w:t>
      </w:r>
      <w:r>
        <w:t xml:space="preserve">, as FLOAT32 GeoTIFF on the site grid.</w:t>
      </w:r>
    </w:p>
    <w:p>
      <w:pPr>
        <w:pStyle w:val="ListParagraph"/>
        <w:numPr>
          <w:ilvl w:val="0"/>
          <w:numId w:val="2"/>
        </w:numPr>
      </w:pPr>
      <w:r>
        <w:t>The 14 October 2026 pilot checked eight complete weeks at all three approved Russian airbases. Earth Search and CDSE optical have the same newest acquisition date within each sampled AOI window. This observation does not establish global completeness or future availability.</w:t>
      </w:r>
    </w:p>
    <w:p>
      <w:pPr>
        <w:pStyle w:val="ListParagraph"/>
        <w:numPr>
          <w:ilvl w:val="0"/>
          <w:numId w:val="2"/>
        </w:numPr>
      </w:pPr>
      <w:r>
        <w:t>Budget settings provisionally assume 10,000 processing units per month; verify the account's current quota before scaling. Each successful 4 km pilot radar Process request reported 3.067035675 PU, plus catalogue usage. Larger AOIs, more looks and different processing can change costs.</w:t>
      </w:r>
    </w:p>
    <w:p>
      <w:pPr>
        <w:pStyle w:val="ListParagraph"/>
        <w:numPr>
          <w:ilvl w:val="0"/>
          <w:numId w:val="2"/>
        </w:numPr>
      </w:pPr>
      <w:r>
        <w:t xml:space="preserve">Keep the CDSE client id and secret in the operating system keychain (Python </w:t>
      </w:r>
      <w:r>
        <w:rPr>
          <w:rStyle w:val="CodeChar"/>
        </w:rPr>
        <w:t xml:space="preserve">keyring</w:t>
      </w:r>
      <w:r>
        <w:t xml:space="preserve">) or a git-ignored </w:t>
      </w:r>
      <w:r>
        <w:rPr>
          <w:rStyle w:val="CodeChar"/>
        </w:rPr>
        <w:t xml:space="preserve">.env</w:t>
      </w:r>
      <w:r>
        <w:t xml:space="preserve">, never in the repository.</w:t>
      </w:r>
    </w:p>
    <w:p>
      <w:pPr/>
      <w:r>
        <w:t xml:space="preserve">Global coverage:</w:t>
      </w:r>
    </w:p>
    <w:p>
      <w:pPr>
        <w:pStyle w:val="ListParagraph"/>
        <w:numPr>
          <w:ilvl w:val="0"/>
          <w:numId w:val="3"/>
        </w:numPr>
      </w:pPr>
      <w:r>
        <w:t xml:space="preserve">Sentinel-2 systematically images land, coastal waters out to about 20 km and islands over 100 km² between 56° S and 84° N (</w:t>
      </w:r>
      <w:hyperlink r:id="rId9" w:history="1">
        <w:r>
          <w:rPr>
            <w:rStyle w:val="Hyperlink"/>
          </w:rPr>
          <w:t xml:space="preserve">ESA</w:t>
        </w:r>
      </w:hyperlink>
      <w:r>
        <w:t xml:space="preserve">). Sites outside that, such as small remote islands, are flagged radar-only in the catalogue.</w:t>
      </w:r>
    </w:p>
    <w:p>
      <w:pPr>
        <w:pStyle w:val="ListParagraph"/>
        <w:numPr>
          <w:ilvl w:val="0"/>
          <w:numId w:val="3"/>
        </w:numPr>
      </w:pPr>
      <w:r>
        <w:t xml:space="preserve">Sentinel-1 revisit differs by region, so Phase 1 measures actual looks per site from the catalogue instead of assuming a number. Since early July 2026 the radar pair is 1C and 1D with a 6-day repeat; 1A operations ended 29 June 2026 (</w:t>
      </w:r>
      <w:hyperlink r:id="rId10" w:history="1">
        <w:r>
          <w:rPr>
            <w:rStyle w:val="Hyperlink"/>
          </w:rPr>
          <w:t xml:space="preserve">ASF</w:t>
        </w:r>
      </w:hyperlink>
      <w:r>
        <w:t xml:space="preserve">, </w:t>
      </w:r>
      <w:hyperlink r:id="rId11" w:history="1">
        <w:r>
          <w:rPr>
            <w:rStyle w:val="Hyperlink"/>
          </w:rPr>
          <w:t xml:space="preserve">CDSE</w:t>
        </w:r>
      </w:hyperlink>
      <w:r>
        <w:t xml:space="preserve">).</w:t>
      </w:r>
    </w:p>
    <w:p>
      <w:pPr>
        <w:pStyle w:val="ListParagraph"/>
        <w:numPr>
          <w:ilvl w:val="0"/>
          <w:numId w:val="3"/>
        </w:numPr>
      </w:pPr>
      <w:r>
        <w:t xml:space="preserve">Sentinel-2B and 2C are the nominal optical pair; 2A's extra campaign runs only until 31 December 2026 (</w:t>
      </w:r>
      <w:hyperlink r:id="rId12" w:history="1">
        <w:r>
          <w:rPr>
            <w:rStyle w:val="Hyperlink"/>
          </w:rPr>
          <w:t xml:space="preserve">CDSE</w:t>
        </w:r>
      </w:hyperlink>
      <w:r>
        <w:t xml:space="preserve">), so expect fewer optical looks from January 2027.</w:t>
      </w:r>
    </w:p>
    <w:p>
      <w:pPr>
        <w:pStyle w:val="ListParagraph"/>
        <w:numPr>
          <w:ilvl w:val="0"/>
          <w:numId w:val="3"/>
        </w:numPr>
      </w:pPr>
      <w:r>
        <w:t xml:space="preserve">Seasonality is computed, never hard-coded: polar night from latitude and date, cloud seasons from each site's own history, snow logic only where snow is detected. The same code then works in either hemisphere and in the tropics.</w:t>
      </w:r>
    </w:p>
    <w:p>
      <w:pPr>
        <w:pStyle w:val="Heading2"/>
      </w:pPr>
      <w:r>
        <w:rPr>
          <w:color w:val="000000"/>
        </w:rPr>
        <w:t>Repositories  workspace and stack</w:t>
      </w:r>
    </w:p>
    <w:p>
      <w:pPr/>
      <w:r>
        <w:t xml:space="preserve">Use two repositories and one local folder: code and catalogue in one repo (private if you like), the built site in a second public repo that GitHub Pages serves, and bulky data in a local workspace that never touches git.</w:t>
      </w:r>
    </w:p>
    <w:p>
      <w:pPr>
        <w:pStyle w:val="Code"/>
      </w:pPr>
      <w:r>
        <w:t>allyourbase/                        # code + catalogue</w:t>
        <w:br/>
        <w:t xml:space="preserve">  catalogue/</w:t>
        <w:br/>
        <w:t xml:space="preserve">    taxonomy.yaml                 # controlled tag vocabulary</w:t>
        <w:br/>
        <w:t xml:space="preserve">    equipment.yaml                # equipment types, all countries</w:t>
        <w:br/>
        <w:t xml:space="preserve">    sources.yaml                  # citable references + reuse class</w:t>
        <w:br/>
        <w:t xml:space="preserve">    countries/&lt;ISO3&gt;/</w:t>
        <w:br/>
        <w:t xml:space="preserve">      sites.geojson               # AOIs and zones</w:t>
        <w:br/>
        <w:t xml:space="preserve">      units.yaml                  # units and garrison links</w:t>
        <w:br/>
        <w:t xml:space="preserve">  config/settings.yaml            # thresholds, weights, providers, budgets, publish policy</w:t>
        <w:br/>
        <w:t xml:space="preserve">  schemas/                        # JSON Schemas for catalogue and exports</w:t>
        <w:br/>
        <w:t xml:space="preserve">  src/allyourbase/</w:t>
        <w:br/>
        <w:t xml:space="preserve">    sources/                      # connectors, PDF extractor, normalise, match, propose</w:t>
        <w:br/>
        <w:t xml:space="preserve">    providers/ preprocess/ indicators/ scoring/</w:t>
        <w:br/>
        <w:t xml:space="preserve">    events/                       # activity events and image chips</w:t>
        <w:br/>
        <w:t xml:space="preserve">    review/                       # local review app (events + catalogue queue)</w:t>
        <w:br/>
        <w:t xml:space="preserve">    export/                       # Hugo content + JSON writer</w:t>
        <w:br/>
        <w:t xml:space="preserve">    publish/                      # build, check, git push</w:t>
        <w:br/>
        <w:t xml:space="preserve">    cli.py</w:t>
        <w:br/>
        <w:t xml:space="preserve">  site/                           # Hugo project: layouts, assets, config</w:t>
        <w:br/>
        <w:t xml:space="preserve">  notebooks/colab_run.ipynb       # optional Colab launcher</w:t>
        <w:br/>
        <w:t xml:space="preserve">  tests/  fixtures/  docs/adr/</w:t>
        <w:br/>
        <w:br/>
        <w:t>~/allyourbase-data/                 # local workspace, never in git</w:t>
        <w:br/>
        <w:t xml:space="preserve">  sources/&lt;source&gt;/&lt;date&gt;/        # immutable source snapshots + manifest</w:t>
        <w:br/>
        <w:t xml:space="preserve">  gazetteer/                      # GeoNames dump</w:t>
        <w:br/>
        <w:t xml:space="preserve">  cache/&lt;site&gt;/&lt;sensor&gt;/&lt;date&gt;.tif</w:t>
        <w:br/>
        <w:t xml:space="preserve">  db/basewatch.duckdb             # staging, results, review decisions</w:t>
        <w:br/>
        <w:t xml:space="preserve">  events/&lt;site&gt;/&lt;event_id&gt;/*.webp</w:t>
        <w:br/>
        <w:t xml:space="preserve">  build/                          # Hugo output before push</w:t>
        <w:br/>
        <w:br/>
        <w:t>publication-site/                   # public repo: built site only</w:t>
      </w:r>
    </w:p>
    <w:p>
      <w:pPr/>
      <w:r>
        <w:t xml:space="preserve">Stack:</w:t>
      </w:r>
    </w:p>
    <w:p>
      <w:pPr>
        <w:pStyle w:val="ListParagraph"/>
        <w:numPr>
          <w:ilvl w:val="0"/>
          <w:numId w:val="4"/>
        </w:numPr>
      </w:pPr>
      <w:r>
        <w:t>Implemented: Python 3.12/uv, strict Pydantic contracts, HTTPX discovery/Process access, Rasterio native optical windows, pyproj/Shapely grids and keyring credentials. Later preprocessing may use the planned xarray/odc/scientific stack. DuckDB ingestion/results, FastAPI/HTMX review and Hugo publication remain future milestones.</w:t>
      </w:r>
    </w:p>
    <w:p>
      <w:pPr>
        <w:pStyle w:val="ListParagraph"/>
        <w:numPr>
          <w:ilvl w:val="0"/>
          <w:numId w:val="4"/>
        </w:numPr>
      </w:pPr>
      <w:r>
        <w:rPr>
          <w:b/>
        </w:rPr>
        <w:t xml:space="preserve">Review app:</w:t>
      </w:r>
      <w:r>
        <w:t xml:space="preserve"> small local web app (FastAPI with HTMX) bound to </w:t>
      </w:r>
      <w:r>
        <w:rPr>
          <w:rStyle w:val="CodeChar"/>
        </w:rPr>
        <w:t xml:space="preserve">127.0.0.1</w:t>
      </w:r>
      <w:r>
        <w:t xml:space="preserve"> only.</w:t>
      </w:r>
    </w:p>
    <w:p>
      <w:pPr>
        <w:pStyle w:val="ListParagraph"/>
        <w:numPr>
          <w:ilvl w:val="0"/>
          <w:numId w:val="4"/>
        </w:numPr>
      </w:pPr>
      <w:r>
        <w:rPr>
          <w:b/>
        </w:rPr>
        <w:t xml:space="preserve">Site:</w:t>
      </w:r>
      <w:r>
        <w:t xml:space="preserve"> Hugo, a single binary on Linux, macOS and Windows, using </w:t>
      </w:r>
      <w:hyperlink r:id="rId13" w:history="1">
        <w:r>
          <w:rPr>
            <w:rStyle w:val="Hyperlink"/>
          </w:rPr>
          <w:t xml:space="preserve">custom taxonomies</w:t>
        </w:r>
      </w:hyperlink>
      <w:r>
        <w:t xml:space="preserve"> for tags; MapLibre GL JS for maps, Observable Plot for charts, Pagefind for static full-text search.</w:t>
      </w:r>
    </w:p>
    <w:p>
      <w:pPr>
        <w:pStyle w:val="ListParagraph"/>
        <w:numPr>
          <w:ilvl w:val="0"/>
          <w:numId w:val="4"/>
        </w:numPr>
      </w:pPr>
      <w:r>
        <w:rPr>
          <w:b/>
        </w:rPr>
        <w:t xml:space="preserve">Quality:</w:t>
      </w:r>
      <w:r>
        <w:t xml:space="preserve"> ruff, mypy, pytest with hypothesis, Playwright smoke tests.</w:t>
      </w:r>
    </w:p>
    <w:p>
      <w:pPr>
        <w:pStyle w:val="ListParagraph"/>
        <w:numPr>
          <w:ilvl w:val="0"/>
          <w:numId w:val="4"/>
        </w:numPr>
      </w:pPr>
      <w:r>
        <w:rPr>
          <w:b/>
        </w:rPr>
        <w:t xml:space="preserve">Machine (approximate):</w:t>
      </w:r>
      <w:r>
        <w:t xml:space="preserve"> 4+ cores, 16 GB RAM, 100 GB free SSD for 100 sites; Linux, macOS, or Windows natively or through WSL2.</w:t>
      </w:r>
    </w:p>
    <w:p>
      <w:pPr>
        <w:pStyle w:val="Heading2"/>
      </w:pPr>
      <w:r>
        <w:rPr>
          <w:color w:val="000000"/>
        </w:rPr>
        <w:t>Catalogue  sites  units and equipment</w:t>
      </w:r>
    </w:p>
    <w:p>
      <w:pPr/>
      <w:r>
        <w:t xml:space="preserve">The catalogue is the project's knowledge base: human-curated YAML and GeoJSON in git, one folder per country, reviewed by pull request like code. The agent must never type coordinates, unit names or equipment facts from memory; every fact comes from a cited source or a human.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File</w:t>
            </w:r>
          </w:p>
        </w:tc>
        <w:tc>
          <w:tcPr>
            <w:tcW w:w="3120" w:type="dxa"/>
            <w:shd w:val="clear" w:color="auto" w:fill="F2F2F2"/>
          </w:tcPr>
          <w:p>
            <w:pPr/>
            <w:r>
              <w:t xml:space="preserve">Key fields</w:t>
            </w:r>
          </w:p>
        </w:tc>
      </w:tr>
      <w:tr>
        <w:tc>
          <w:tcPr>
            <w:tcW w:w="3120" w:type="dxa"/>
          </w:tcPr>
          <w:p>
            <w:pPr/>
            <w:r>
              <w:t xml:space="preserve">Site</w:t>
            </w:r>
          </w:p>
        </w:tc>
        <w:tc>
          <w:tcPr>
            <w:tcW w:w="3120" w:type="dxa"/>
          </w:tcPr>
          <w:p>
            <w:pPr/>
            <w:r>
              <w:rPr>
                <w:rStyle w:val="CodeChar"/>
              </w:rPr>
              <w:t xml:space="preserve">countries/&lt;ISO3&gt;/sites.geojson</w:t>
            </w:r>
          </w:p>
        </w:tc>
        <w:tc>
          <w:tcPr>
            <w:tcW w:w="3120" w:type="dxa"/>
          </w:tcPr>
          <w:p>
            <w:pPr/>
            <w:r>
              <w:rPr>
                <w:rStyle w:val="CodeChar"/>
              </w:rPr>
              <w:t xml:space="preserve">id</w:t>
            </w:r>
            <w:r>
              <w:t xml:space="preserve"> (</w:t>
            </w:r>
            <w:r>
              <w:rPr>
                <w:rStyle w:val="CodeChar"/>
              </w:rPr>
              <w:t xml:space="preserve">&lt;iso3&gt;-&lt;slug&gt;</w:t>
            </w:r>
            <w:r>
              <w:t xml:space="preserve">), </w:t>
            </w:r>
            <w:r>
              <w:rPr>
                <w:rStyle w:val="CodeChar"/>
              </w:rPr>
              <w:t xml:space="preserve">name</w:t>
            </w:r>
            <w:r>
              <w:t xml:space="preserve">, </w:t>
            </w:r>
            <w:r>
              <w:rPr>
                <w:rStyle w:val="CodeChar"/>
              </w:rPr>
              <w:t xml:space="preserve">name_local</w:t>
            </w:r>
            <w:r>
              <w:t xml:space="preserve">, </w:t>
            </w:r>
            <w:r>
              <w:rPr>
                <w:rStyle w:val="CodeChar"/>
              </w:rPr>
              <w:t xml:space="preserve">country</w:t>
            </w:r>
            <w:r>
              <w:t xml:space="preserve">, </w:t>
            </w:r>
            <w:r>
              <w:rPr>
                <w:rStyle w:val="CodeChar"/>
              </w:rPr>
              <w:t xml:space="preserve">site_type</w:t>
            </w:r>
            <w:r>
              <w:t xml:space="preserve">, </w:t>
            </w:r>
            <w:r>
              <w:rPr>
                <w:rStyle w:val="CodeChar"/>
              </w:rPr>
              <w:t xml:space="preserve">aoi</w:t>
            </w:r>
            <w:r>
              <w:t xml:space="preserve"> polygon, </w:t>
            </w:r>
            <w:r>
              <w:rPr>
                <w:rStyle w:val="CodeChar"/>
              </w:rPr>
              <w:t xml:space="preserve">zones</w:t>
            </w:r>
            <w:r>
              <w:t xml:space="preserve">, </w:t>
            </w:r>
            <w:r>
              <w:rPr>
                <w:rStyle w:val="CodeChar"/>
              </w:rPr>
              <w:t xml:space="preserve">tags</w:t>
            </w:r>
            <w:r>
              <w:t xml:space="preserve">, </w:t>
            </w:r>
            <w:r>
              <w:rPr>
                <w:rStyle w:val="CodeChar"/>
              </w:rPr>
              <w:t xml:space="preserve">wikidata</w:t>
            </w:r>
            <w:r>
              <w:t xml:space="preserve">, </w:t>
            </w:r>
            <w:r>
              <w:rPr>
                <w:rStyle w:val="CodeChar"/>
              </w:rPr>
              <w:t xml:space="preserve">osm_ids</w:t>
            </w:r>
            <w:r>
              <w:t xml:space="preserve">, </w:t>
            </w:r>
            <w:r>
              <w:rPr>
                <w:rStyle w:val="CodeChar"/>
              </w:rPr>
              <w:t xml:space="preserve">sensors</w:t>
            </w:r>
            <w:r>
              <w:t xml:space="preserve"> (both or radar-only)</w:t>
            </w:r>
          </w:p>
        </w:tc>
      </w:tr>
      <w:tr>
        <w:tc>
          <w:tcPr>
            <w:tcW w:w="3120" w:type="dxa"/>
          </w:tcPr>
          <w:p>
            <w:pPr/>
            <w:r>
              <w:t xml:space="preserve">Zone</w:t>
            </w:r>
          </w:p>
        </w:tc>
        <w:tc>
          <w:tcPr>
            <w:tcW w:w="3120" w:type="dxa"/>
          </w:tcPr>
          <w:p>
            <w:pPr/>
            <w:r>
              <w:t xml:space="preserve">inside each site</w:t>
            </w:r>
          </w:p>
        </w:tc>
        <w:tc>
          <w:tcPr>
            <w:tcW w:w="3120" w:type="dxa"/>
          </w:tcPr>
          <w:p>
            <w:pPr/>
            <w:r>
              <w:rPr>
                <w:rStyle w:val="CodeChar"/>
              </w:rPr>
              <w:t xml:space="preserve">id</w:t>
            </w:r>
            <w:r>
              <w:t xml:space="preserve">, </w:t>
            </w:r>
            <w:r>
              <w:rPr>
                <w:rStyle w:val="CodeChar"/>
              </w:rPr>
              <w:t xml:space="preserve">zone_type</w:t>
            </w:r>
            <w:r>
              <w:t xml:space="preserve">, polygon, optional indicator overrides</w:t>
            </w:r>
          </w:p>
        </w:tc>
      </w:tr>
      <w:tr>
        <w:tc>
          <w:tcPr>
            <w:tcW w:w="3120" w:type="dxa"/>
          </w:tcPr>
          <w:p>
            <w:pPr/>
            <w:r>
              <w:t xml:space="preserve">Unit</w:t>
            </w:r>
          </w:p>
        </w:tc>
        <w:tc>
          <w:tcPr>
            <w:tcW w:w="3120" w:type="dxa"/>
          </w:tcPr>
          <w:p>
            <w:pPr/>
            <w:r>
              <w:rPr>
                <w:rStyle w:val="CodeChar"/>
              </w:rPr>
              <w:t xml:space="preserve">countries/&lt;ISO3&gt;/units.yaml</w:t>
            </w:r>
          </w:p>
        </w:tc>
        <w:tc>
          <w:tcPr>
            <w:tcW w:w="3120" w:type="dxa"/>
          </w:tcPr>
          <w:p>
            <w:pPr/>
            <w:r>
              <w:rPr>
                <w:rStyle w:val="CodeChar"/>
              </w:rPr>
              <w:t xml:space="preserve">id</w:t>
            </w:r>
            <w:r>
              <w:t xml:space="preserve">, </w:t>
            </w:r>
            <w:r>
              <w:rPr>
                <w:rStyle w:val="CodeChar"/>
              </w:rPr>
              <w:t xml:space="preserve">name</w:t>
            </w:r>
            <w:r>
              <w:t xml:space="preserve">, </w:t>
            </w:r>
            <w:r>
              <w:rPr>
                <w:rStyle w:val="CodeChar"/>
              </w:rPr>
              <w:t xml:space="preserve">name_local</w:t>
            </w:r>
            <w:r>
              <w:t xml:space="preserve">, </w:t>
            </w:r>
            <w:r>
              <w:rPr>
                <w:rStyle w:val="CodeChar"/>
              </w:rPr>
              <w:t xml:space="preserve">designation</w:t>
            </w:r>
            <w:r>
              <w:t xml:space="preserve">, </w:t>
            </w:r>
            <w:r>
              <w:rPr>
                <w:rStyle w:val="CodeChar"/>
              </w:rPr>
              <w:t xml:space="preserve">branch</w:t>
            </w:r>
            <w:r>
              <w:t xml:space="preserve">, </w:t>
            </w:r>
            <w:r>
              <w:rPr>
                <w:rStyle w:val="CodeChar"/>
              </w:rPr>
              <w:t xml:space="preserve">echelon</w:t>
            </w:r>
            <w:r>
              <w:t xml:space="preserve">, </w:t>
            </w:r>
            <w:r>
              <w:rPr>
                <w:rStyle w:val="CodeChar"/>
              </w:rPr>
              <w:t xml:space="preserve">parent</w:t>
            </w:r>
            <w:r>
              <w:t xml:space="preserve">, </w:t>
            </w:r>
            <w:r>
              <w:rPr>
                <w:rStyle w:val="CodeChar"/>
              </w:rPr>
              <w:t xml:space="preserve">wikidata</w:t>
            </w:r>
            <w:r>
              <w:t xml:space="preserve">, </w:t>
            </w:r>
            <w:r>
              <w:rPr>
                <w:rStyle w:val="CodeChar"/>
              </w:rPr>
              <w:t xml:space="preserve">links</w:t>
            </w:r>
          </w:p>
        </w:tc>
      </w:tr>
      <w:tr>
        <w:tc>
          <w:tcPr>
            <w:tcW w:w="3120" w:type="dxa"/>
          </w:tcPr>
          <w:p>
            <w:pPr/>
            <w:r>
              <w:t xml:space="preserve">Garrison link</w:t>
            </w:r>
          </w:p>
        </w:tc>
        <w:tc>
          <w:tcPr>
            <w:tcW w:w="3120" w:type="dxa"/>
          </w:tcPr>
          <w:p>
            <w:pPr/>
            <w:r>
              <w:t xml:space="preserve">inside each unit</w:t>
            </w:r>
          </w:p>
        </w:tc>
        <w:tc>
          <w:tcPr>
            <w:tcW w:w="3120" w:type="dxa"/>
          </w:tcPr>
          <w:p>
            <w:pPr/>
            <w:r>
              <w:rPr>
                <w:rStyle w:val="CodeChar"/>
              </w:rPr>
              <w:t xml:space="preserve">site</w:t>
            </w:r>
            <w:r>
              <w:t xml:space="preserve">, </w:t>
            </w:r>
            <w:r>
              <w:rPr>
                <w:rStyle w:val="CodeChar"/>
              </w:rPr>
              <w:t xml:space="preserve">from</w:t>
            </w:r>
            <w:r>
              <w:t xml:space="preserve">, </w:t>
            </w:r>
            <w:r>
              <w:rPr>
                <w:rStyle w:val="CodeChar"/>
              </w:rPr>
              <w:t xml:space="preserve">to</w:t>
            </w:r>
            <w:r>
              <w:t xml:space="preserve">, </w:t>
            </w:r>
            <w:r>
              <w:rPr>
                <w:rStyle w:val="CodeChar"/>
              </w:rPr>
              <w:t xml:space="preserve">confidence</w:t>
            </w:r>
            <w:r>
              <w:t xml:space="preserve">, </w:t>
            </w:r>
            <w:r>
              <w:rPr>
                <w:rStyle w:val="CodeChar"/>
              </w:rPr>
              <w:t xml:space="preserve">sources</w:t>
            </w:r>
          </w:p>
        </w:tc>
      </w:tr>
      <w:tr>
        <w:tc>
          <w:tcPr>
            <w:tcW w:w="3120" w:type="dxa"/>
          </w:tcPr>
          <w:p>
            <w:pPr/>
            <w:r>
              <w:t xml:space="preserve">Equipment type</w:t>
            </w:r>
          </w:p>
        </w:tc>
        <w:tc>
          <w:tcPr>
            <w:tcW w:w="3120" w:type="dxa"/>
          </w:tcPr>
          <w:p>
            <w:pPr/>
            <w:r>
              <w:rPr>
                <w:rStyle w:val="CodeChar"/>
              </w:rPr>
              <w:t xml:space="preserve">equipment.yaml</w:t>
            </w:r>
          </w:p>
        </w:tc>
        <w:tc>
          <w:tcPr>
            <w:tcW w:w="3120" w:type="dxa"/>
          </w:tcPr>
          <w:p>
            <w:pPr/>
            <w:r>
              <w:rPr>
                <w:rStyle w:val="CodeChar"/>
              </w:rPr>
              <w:t xml:space="preserve">id</w:t>
            </w:r>
            <w:r>
              <w:t xml:space="preserve">, </w:t>
            </w:r>
            <w:r>
              <w:rPr>
                <w:rStyle w:val="CodeChar"/>
              </w:rPr>
              <w:t xml:space="preserve">name</w:t>
            </w:r>
            <w:r>
              <w:t xml:space="preserve">, </w:t>
            </w:r>
            <w:r>
              <w:rPr>
                <w:rStyle w:val="CodeChar"/>
              </w:rPr>
              <w:t xml:space="preserve">category</w:t>
            </w:r>
            <w:r>
              <w:t xml:space="preserve">, </w:t>
            </w:r>
            <w:r>
              <w:rPr>
                <w:rStyle w:val="CodeChar"/>
              </w:rPr>
              <w:t xml:space="preserve">origin_country</w:t>
            </w:r>
            <w:r>
              <w:t xml:space="preserve">, </w:t>
            </w:r>
            <w:r>
              <w:rPr>
                <w:rStyle w:val="CodeChar"/>
              </w:rPr>
              <w:t xml:space="preserve">wikidata</w:t>
            </w:r>
            <w:r>
              <w:t xml:space="preserve">, </w:t>
            </w:r>
            <w:r>
              <w:rPr>
                <w:rStyle w:val="CodeChar"/>
              </w:rPr>
              <w:t xml:space="preserve">links</w:t>
            </w:r>
          </w:p>
        </w:tc>
      </w:tr>
      <w:tr>
        <w:tc>
          <w:tcPr>
            <w:tcW w:w="3120" w:type="dxa"/>
          </w:tcPr>
          <w:p>
            <w:pPr/>
            <w:r>
              <w:t xml:space="preserve">Equipment link</w:t>
            </w:r>
          </w:p>
        </w:tc>
        <w:tc>
          <w:tcPr>
            <w:tcW w:w="3120" w:type="dxa"/>
          </w:tcPr>
          <w:p>
            <w:pPr/>
            <w:r>
              <w:t xml:space="preserve">inside each unit</w:t>
            </w:r>
          </w:p>
        </w:tc>
        <w:tc>
          <w:tcPr>
            <w:tcW w:w="3120" w:type="dxa"/>
          </w:tcPr>
          <w:p>
            <w:pPr/>
            <w:r>
              <w:rPr>
                <w:rStyle w:val="CodeChar"/>
              </w:rPr>
              <w:t xml:space="preserve">equipment</w:t>
            </w:r>
            <w:r>
              <w:t xml:space="preserve">, </w:t>
            </w:r>
            <w:r>
              <w:rPr>
                <w:rStyle w:val="CodeChar"/>
              </w:rPr>
              <w:t xml:space="preserve">from</w:t>
            </w:r>
            <w:r>
              <w:t xml:space="preserve">, </w:t>
            </w:r>
            <w:r>
              <w:rPr>
                <w:rStyle w:val="CodeChar"/>
              </w:rPr>
              <w:t xml:space="preserve">to</w:t>
            </w:r>
            <w:r>
              <w:t xml:space="preserve">, </w:t>
            </w:r>
            <w:r>
              <w:rPr>
                <w:rStyle w:val="CodeChar"/>
              </w:rPr>
              <w:t xml:space="preserve">confidence</w:t>
            </w:r>
            <w:r>
              <w:t xml:space="preserve">, </w:t>
            </w:r>
            <w:r>
              <w:rPr>
                <w:rStyle w:val="CodeChar"/>
              </w:rPr>
              <w:t xml:space="preserve">sources</w:t>
            </w:r>
          </w:p>
        </w:tc>
      </w:tr>
      <w:tr>
        <w:tc>
          <w:tcPr>
            <w:tcW w:w="3120" w:type="dxa"/>
          </w:tcPr>
          <w:p>
            <w:pPr/>
            <w:r>
              <w:t xml:space="preserve">Source</w:t>
            </w:r>
          </w:p>
        </w:tc>
        <w:tc>
          <w:tcPr>
            <w:tcW w:w="3120" w:type="dxa"/>
          </w:tcPr>
          <w:p>
            <w:pPr/>
            <w:r>
              <w:rPr>
                <w:rStyle w:val="CodeChar"/>
              </w:rPr>
              <w:t xml:space="preserve">sources.yaml</w:t>
            </w:r>
          </w:p>
        </w:tc>
        <w:tc>
          <w:tcPr>
            <w:tcW w:w="3120" w:type="dxa"/>
          </w:tcPr>
          <w:p>
            <w:pPr/>
            <w:r>
              <w:rPr>
                <w:rStyle w:val="CodeChar"/>
              </w:rPr>
              <w:t xml:space="preserve">id</w:t>
            </w:r>
            <w:r>
              <w:t xml:space="preserve">, </w:t>
            </w:r>
            <w:r>
              <w:rPr>
                <w:rStyle w:val="CodeChar"/>
              </w:rPr>
              <w:t xml:space="preserve">title</w:t>
            </w:r>
            <w:r>
              <w:t xml:space="preserve">, </w:t>
            </w:r>
            <w:r>
              <w:rPr>
                <w:rStyle w:val="CodeChar"/>
              </w:rPr>
              <w:t xml:space="preserve">url</w:t>
            </w:r>
            <w:r>
              <w:t xml:space="preserve">, </w:t>
            </w:r>
            <w:r>
              <w:rPr>
                <w:rStyle w:val="CodeChar"/>
              </w:rPr>
              <w:t xml:space="preserve">publisher</w:t>
            </w:r>
            <w:r>
              <w:t xml:space="preserve">, </w:t>
            </w:r>
            <w:r>
              <w:rPr>
                <w:rStyle w:val="CodeChar"/>
              </w:rPr>
              <w:t xml:space="preserve">accessed</w:t>
            </w:r>
            <w:r>
              <w:t xml:space="preserve">, </w:t>
            </w:r>
            <w:r>
              <w:rPr>
                <w:rStyle w:val="CodeChar"/>
              </w:rPr>
              <w:t xml:space="preserve">archive_url</w:t>
            </w:r>
          </w:p>
        </w:tc>
      </w:tr>
    </w:tbl>
    <w:p>
      <w:pPr/>
      <w:r>
        <w:t xml:space="preserve">Rules:</w:t>
      </w:r>
    </w:p>
    <w:p>
      <w:pPr>
        <w:pStyle w:val="ListParagraph"/>
        <w:numPr>
          <w:ilvl w:val="0"/>
          <w:numId w:val="5"/>
        </w:numPr>
      </w:pPr>
      <w:r>
        <w:t xml:space="preserve">Every garrison and equipment link carries at least one source id, a confidence (confirmed, likely, reported) and an as-of date. Units move, so links get </w:t>
      </w:r>
      <w:r>
        <w:rPr>
          <w:rStyle w:val="CodeChar"/>
        </w:rPr>
        <w:t xml:space="preserve">from</w:t>
      </w:r>
      <w:r>
        <w:t xml:space="preserve"> and </w:t>
      </w:r>
      <w:r>
        <w:rPr>
          <w:rStyle w:val="CodeChar"/>
        </w:rPr>
        <w:t xml:space="preserve">to</w:t>
      </w:r>
      <w:r>
        <w:t xml:space="preserve"> dates and are closed, never deleted.</w:t>
      </w:r>
    </w:p>
    <w:p>
      <w:pPr>
        <w:pStyle w:val="ListParagraph"/>
        <w:numPr>
          <w:ilvl w:val="0"/>
          <w:numId w:val="5"/>
        </w:numPr>
      </w:pPr>
      <w:r>
        <w:t xml:space="preserve">Site ids are permanent; a rename changes </w:t>
      </w:r>
      <w:r>
        <w:rPr>
          <w:rStyle w:val="CodeChar"/>
        </w:rPr>
        <w:t xml:space="preserve">name</w:t>
      </w:r>
      <w:r>
        <w:t xml:space="preserve">, never </w:t>
      </w:r>
      <w:r>
        <w:rPr>
          <w:rStyle w:val="CodeChar"/>
        </w:rPr>
        <w:t xml:space="preserve">id</w:t>
      </w:r>
      <w:r>
        <w:t xml:space="preserve">, so site URLs never break.</w:t>
      </w:r>
    </w:p>
    <w:p>
      <w:pPr>
        <w:pStyle w:val="ListParagraph"/>
        <w:numPr>
          <w:ilvl w:val="0"/>
          <w:numId w:val="5"/>
        </w:numPr>
      </w:pPr>
      <w:r>
        <w:t xml:space="preserve">Zones decide which indicators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zone_type</w:t>
            </w:r>
          </w:p>
        </w:tc>
        <w:tc>
          <w:tcPr>
            <w:tcW w:w="3120" w:type="dxa"/>
            <w:shd w:val="clear" w:color="auto" w:fill="F2F2F2"/>
          </w:tcPr>
          <w:p>
            <w:pPr/>
            <w:r>
              <w:t xml:space="preserve">Typical place</w:t>
            </w:r>
          </w:p>
        </w:tc>
        <w:tc>
          <w:tcPr>
            <w:tcW w:w="3120" w:type="dxa"/>
            <w:shd w:val="clear" w:color="auto" w:fill="F2F2F2"/>
          </w:tcPr>
          <w:p>
            <w:pPr/>
            <w:r>
              <w:t xml:space="preserve">Indicators that run</w:t>
            </w:r>
          </w:p>
        </w:tc>
      </w:tr>
      <w:tr>
        <w:tc>
          <w:tcPr>
            <w:tcW w:w="3120" w:type="dxa"/>
          </w:tcPr>
          <w:p>
            <w:pPr/>
            <w:r>
              <w:t xml:space="preserve">apron</w:t>
            </w:r>
          </w:p>
        </w:tc>
        <w:tc>
          <w:tcPr>
            <w:tcW w:w="3120" w:type="dxa"/>
          </w:tcPr>
          <w:p>
            <w:pPr/>
            <w:r>
              <w:t xml:space="preserve">Aircraft parking, hardstands</w:t>
            </w:r>
          </w:p>
        </w:tc>
        <w:tc>
          <w:tcPr>
            <w:tcW w:w="3120" w:type="dxa"/>
          </w:tcPr>
          <w:p>
            <w:pPr/>
            <w:r>
              <w:t xml:space="preserve">SAR bright targets, optical blob anomaly</w:t>
            </w:r>
          </w:p>
        </w:tc>
      </w:tr>
      <w:tr>
        <w:tc>
          <w:tcPr>
            <w:tcW w:w="3120" w:type="dxa"/>
          </w:tcPr>
          <w:p>
            <w:pPr/>
            <w:r>
              <w:t xml:space="preserve">vehicle_park</w:t>
            </w:r>
          </w:p>
        </w:tc>
        <w:tc>
          <w:tcPr>
            <w:tcW w:w="3120" w:type="dxa"/>
          </w:tcPr>
          <w:p>
            <w:pPr/>
            <w:r>
              <w:t xml:space="preserve">Motor pools, open storage</w:t>
            </w:r>
          </w:p>
        </w:tc>
        <w:tc>
          <w:tcPr>
            <w:tcW w:w="3120" w:type="dxa"/>
          </w:tcPr>
          <w:p>
            <w:pPr/>
            <w:r>
              <w:t xml:space="preserve">SAR bright targets, optical fill change</w:t>
            </w:r>
          </w:p>
        </w:tc>
      </w:tr>
      <w:tr>
        <w:tc>
          <w:tcPr>
            <w:tcW w:w="3120" w:type="dxa"/>
          </w:tcPr>
          <w:p>
            <w:pPr/>
            <w:r>
              <w:t xml:space="preserve">pier / anchorage</w:t>
            </w:r>
          </w:p>
        </w:tc>
        <w:tc>
          <w:tcPr>
            <w:tcW w:w="3120" w:type="dxa"/>
          </w:tcPr>
          <w:p>
            <w:pPr/>
            <w:r>
              <w:t xml:space="preserve">Naval berths, port basins</w:t>
            </w:r>
          </w:p>
        </w:tc>
        <w:tc>
          <w:tcPr>
            <w:tcW w:w="3120" w:type="dxa"/>
          </w:tcPr>
          <w:p>
            <w:pPr/>
            <w:r>
              <w:t xml:space="preserve">SAR ship occupancy</w:t>
            </w:r>
          </w:p>
        </w:tc>
      </w:tr>
      <w:tr>
        <w:tc>
          <w:tcPr>
            <w:tcW w:w="3120" w:type="dxa"/>
          </w:tcPr>
          <w:p>
            <w:pPr/>
            <w:r>
              <w:t xml:space="preserve">rail_siding</w:t>
            </w:r>
          </w:p>
        </w:tc>
        <w:tc>
          <w:tcPr>
            <w:tcW w:w="3120" w:type="dxa"/>
          </w:tcPr>
          <w:p>
            <w:pPr/>
            <w:r>
              <w:t xml:space="preserve">Loading ramps, spurs</w:t>
            </w:r>
          </w:p>
        </w:tc>
        <w:tc>
          <w:tcPr>
            <w:tcW w:w="3120" w:type="dxa"/>
          </w:tcPr>
          <w:p>
            <w:pPr/>
            <w:r>
              <w:t xml:space="preserve">SAR bright targets along a track buffer</w:t>
            </w:r>
          </w:p>
        </w:tc>
      </w:tr>
      <w:tr>
        <w:tc>
          <w:tcPr>
            <w:tcW w:w="3120" w:type="dxa"/>
          </w:tcPr>
          <w:p>
            <w:pPr/>
            <w:r>
              <w:t xml:space="preserve">field</w:t>
            </w:r>
          </w:p>
        </w:tc>
        <w:tc>
          <w:tcPr>
            <w:tcW w:w="3120" w:type="dxa"/>
          </w:tcPr>
          <w:p>
            <w:pPr/>
            <w:r>
              <w:t xml:space="preserve">Training grounds, perimeter</w:t>
            </w:r>
          </w:p>
        </w:tc>
        <w:tc>
          <w:tcPr>
            <w:tcW w:w="3120" w:type="dxa"/>
          </w:tcPr>
          <w:p>
            <w:pPr/>
            <w:r>
              <w:t xml:space="preserve">Ground disturbance, snow tracks</w:t>
            </w:r>
          </w:p>
        </w:tc>
      </w:tr>
      <w:tr>
        <w:tc>
          <w:tcPr>
            <w:tcW w:w="3120" w:type="dxa"/>
          </w:tcPr>
          <w:p>
            <w:pPr/>
            <w:r>
              <w:t xml:space="preserve">storage</w:t>
            </w:r>
          </w:p>
        </w:tc>
        <w:tc>
          <w:tcPr>
            <w:tcW w:w="3120" w:type="dxa"/>
          </w:tcPr>
          <w:p>
            <w:pPr/>
            <w:r>
              <w:t xml:space="preserve">Ammunition and fuel depots</w:t>
            </w:r>
          </w:p>
        </w:tc>
        <w:tc>
          <w:tcPr>
            <w:tcW w:w="3120" w:type="dxa"/>
          </w:tcPr>
          <w:p>
            <w:pPr/>
            <w:r>
              <w:t xml:space="preserve">Fire or burn, backscatter change</w:t>
            </w:r>
          </w:p>
        </w:tc>
      </w:tr>
    </w:tbl>
    <w:p>
      <w:pPr/>
      <w:r>
        <w:t xml:space="preserve">Seeding a country runs the pipeline in Catalogue sources and ingestion below: connectors propose candidate sites, zones, units and links, and a human approves each one, corrects zones in QGIS, and adds water and exclusion masks. CI then validates schemas, referential integrity (every unit's site exists, every link has a source), polygon sanity and duplicates.</w:t>
      </w:r>
    </w:p>
    <w:p>
      <w:pPr/>
      <w:r>
        <w:t xml:space="preserve">Licences: geometry derived from OpenStreetMap is ODbL and Wikidata is CC0; other sources keep their own terms, so the catalogue stores links and short facts, never copied text.</w:t>
      </w:r>
    </w:p>
    <w:p>
      <w:pPr>
        <w:pStyle w:val="Heading2"/>
      </w:pPr>
      <w:r>
        <w:rPr>
          <w:color w:val="000000"/>
        </w:rPr>
        <w:t>Tagging system</w:t>
      </w:r>
    </w:p>
    <w:p>
      <w:pPr/>
      <w:r>
        <w:t xml:space="preserve">Every tag belongs to one facet from a controlled vocabulary in </w:t>
      </w:r>
      <w:r>
        <w:rPr>
          <w:rStyle w:val="CodeChar"/>
        </w:rPr>
        <w:t xml:space="preserve">taxonomy.yaml</w:t>
      </w:r>
      <w:r>
        <w:t xml:space="preserve">, and each facet becomes a Hugo taxonomy with an index page and one page per term (</w:t>
      </w:r>
      <w:hyperlink r:id="rId13" w:history="1">
        <w:r>
          <w:rPr>
            <w:rStyle w:val="Hyperlink"/>
          </w:rPr>
          <w:t xml:space="preserve">Hugo</w:t>
        </w:r>
      </w:hyperlink>
      <w:r>
        <w:t xml:space="preserve">). That makes sites findable and comparable across countries.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Facet</w:t>
            </w:r>
          </w:p>
        </w:tc>
        <w:tc>
          <w:tcPr>
            <w:tcW w:w="3120" w:type="dxa"/>
            <w:shd w:val="clear" w:color="auto" w:fill="F2F2F2"/>
          </w:tcPr>
          <w:p>
            <w:pPr/>
            <w:r>
              <w:t xml:space="preserve">Example terms</w:t>
            </w:r>
          </w:p>
        </w:tc>
        <w:tc>
          <w:tcPr>
            <w:tcW w:w="3120" w:type="dxa"/>
            <w:shd w:val="clear" w:color="auto" w:fill="F2F2F2"/>
          </w:tcPr>
          <w:p>
            <w:pPr/>
            <w:r>
              <w:t xml:space="preserve">Assigned by</w:t>
            </w:r>
          </w:p>
        </w:tc>
      </w:tr>
      <w:tr>
        <w:tc>
          <w:tcPr>
            <w:tcW w:w="3120" w:type="dxa"/>
          </w:tcPr>
          <w:p>
            <w:pPr/>
            <w:r>
              <w:t xml:space="preserve">country</w:t>
            </w:r>
          </w:p>
        </w:tc>
        <w:tc>
          <w:tcPr>
            <w:tcW w:w="3120" w:type="dxa"/>
          </w:tcPr>
          <w:p>
            <w:pPr/>
            <w:r>
              <w:t xml:space="preserve">FIN, NOR, USA</w:t>
            </w:r>
          </w:p>
        </w:tc>
        <w:tc>
          <w:tcPr>
            <w:tcW w:w="3120" w:type="dxa"/>
          </w:tcPr>
          <w:p>
            <w:pPr/>
            <w:r>
              <w:t xml:space="preserve">Catalogue</w:t>
            </w:r>
          </w:p>
        </w:tc>
      </w:tr>
      <w:tr>
        <w:tc>
          <w:tcPr>
            <w:tcW w:w="3120" w:type="dxa"/>
          </w:tcPr>
          <w:p>
            <w:pPr/>
            <w:r>
              <w:t xml:space="preserve">region</w:t>
            </w:r>
          </w:p>
        </w:tc>
        <w:tc>
          <w:tcPr>
            <w:tcW w:w="3120" w:type="dxa"/>
          </w:tcPr>
          <w:p>
            <w:pPr/>
            <w:r>
              <w:t xml:space="preserve">baltic, arctic, black_sea (user-defined)</w:t>
            </w:r>
          </w:p>
        </w:tc>
        <w:tc>
          <w:tcPr>
            <w:tcW w:w="3120" w:type="dxa"/>
          </w:tcPr>
          <w:p>
            <w:pPr/>
            <w:r>
              <w:t xml:space="preserve">Catalogue</w:t>
            </w:r>
          </w:p>
        </w:tc>
      </w:tr>
      <w:tr>
        <w:tc>
          <w:tcPr>
            <w:tcW w:w="3120" w:type="dxa"/>
          </w:tcPr>
          <w:p>
            <w:pPr/>
            <w:r>
              <w:t xml:space="preserve">site_type</w:t>
            </w:r>
          </w:p>
        </w:tc>
        <w:tc>
          <w:tcPr>
            <w:tcW w:w="3120" w:type="dxa"/>
          </w:tcPr>
          <w:p>
            <w:pPr/>
            <w:r>
              <w:t xml:space="preserve">airbase, naval_base, port, garrison, depot, training_area, missile_site, radar_site</w:t>
            </w:r>
          </w:p>
        </w:tc>
        <w:tc>
          <w:tcPr>
            <w:tcW w:w="3120" w:type="dxa"/>
          </w:tcPr>
          <w:p>
            <w:pPr/>
            <w:r>
              <w:t xml:space="preserve">Catalogue</w:t>
            </w:r>
          </w:p>
        </w:tc>
      </w:tr>
      <w:tr>
        <w:tc>
          <w:tcPr>
            <w:tcW w:w="3120" w:type="dxa"/>
          </w:tcPr>
          <w:p>
            <w:pPr/>
            <w:r>
              <w:t xml:space="preserve">branch</w:t>
            </w:r>
          </w:p>
        </w:tc>
        <w:tc>
          <w:tcPr>
            <w:tcW w:w="3120" w:type="dxa"/>
          </w:tcPr>
          <w:p>
            <w:pPr/>
            <w:r>
              <w:t xml:space="preserve">air_force, navy, army, marines, strategic_forces, coast_guard</w:t>
            </w:r>
          </w:p>
        </w:tc>
        <w:tc>
          <w:tcPr>
            <w:tcW w:w="3120" w:type="dxa"/>
          </w:tcPr>
          <w:p>
            <w:pPr/>
            <w:r>
              <w:t xml:space="preserve">Catalogue, from linked units</w:t>
            </w:r>
          </w:p>
        </w:tc>
      </w:tr>
      <w:tr>
        <w:tc>
          <w:tcPr>
            <w:tcW w:w="3120" w:type="dxa"/>
          </w:tcPr>
          <w:p>
            <w:pPr/>
            <w:r>
              <w:t xml:space="preserve">role</w:t>
            </w:r>
          </w:p>
        </w:tc>
        <w:tc>
          <w:tcPr>
            <w:tcW w:w="3120" w:type="dxa"/>
          </w:tcPr>
          <w:p>
            <w:pPr/>
            <w:r>
              <w:t xml:space="preserve">strategic_aviation, fighter, transport, submarine, surface_fleet, armour, artillery, air_defence, logistics</w:t>
            </w:r>
          </w:p>
        </w:tc>
        <w:tc>
          <w:tcPr>
            <w:tcW w:w="3120" w:type="dxa"/>
          </w:tcPr>
          <w:p>
            <w:pPr/>
            <w:r>
              <w:t xml:space="preserve">Catalogue</w:t>
            </w:r>
          </w:p>
        </w:tc>
      </w:tr>
      <w:tr>
        <w:tc>
          <w:tcPr>
            <w:tcW w:w="3120" w:type="dxa"/>
          </w:tcPr>
          <w:p>
            <w:pPr/>
            <w:r>
              <w:t xml:space="preserve">unit</w:t>
            </w:r>
          </w:p>
        </w:tc>
        <w:tc>
          <w:tcPr>
            <w:tcW w:w="3120" w:type="dxa"/>
          </w:tcPr>
          <w:p>
            <w:pPr/>
            <w:r>
              <w:t xml:space="preserve">one term per unit id</w:t>
            </w:r>
          </w:p>
        </w:tc>
        <w:tc>
          <w:tcPr>
            <w:tcW w:w="3120" w:type="dxa"/>
          </w:tcPr>
          <w:p>
            <w:pPr/>
            <w:r>
              <w:t xml:space="preserve">Garrison links</w:t>
            </w:r>
          </w:p>
        </w:tc>
      </w:tr>
      <w:tr>
        <w:tc>
          <w:tcPr>
            <w:tcW w:w="3120" w:type="dxa"/>
          </w:tcPr>
          <w:p>
            <w:pPr/>
            <w:r>
              <w:t xml:space="preserve">equipment</w:t>
            </w:r>
          </w:p>
        </w:tc>
        <w:tc>
          <w:tcPr>
            <w:tcW w:w="3120" w:type="dxa"/>
          </w:tcPr>
          <w:p>
            <w:pPr/>
            <w:r>
              <w:t xml:space="preserve">one term per equipment id, grouped by category</w:t>
            </w:r>
          </w:p>
        </w:tc>
        <w:tc>
          <w:tcPr>
            <w:tcW w:w="3120" w:type="dxa"/>
          </w:tcPr>
          <w:p>
            <w:pPr/>
            <w:r>
              <w:t xml:space="preserve">Equipment links</w:t>
            </w:r>
          </w:p>
        </w:tc>
      </w:tr>
      <w:tr>
        <w:tc>
          <w:tcPr>
            <w:tcW w:w="3120" w:type="dxa"/>
          </w:tcPr>
          <w:p>
            <w:pPr/>
            <w:r>
              <w:t xml:space="preserve">activity</w:t>
            </w:r>
          </w:p>
        </w:tc>
        <w:tc>
          <w:tcPr>
            <w:tcW w:w="3120" w:type="dxa"/>
          </w:tcPr>
          <w:p>
            <w:pPr/>
            <w:r>
              <w:t xml:space="preserve">aircraft_increase, aircraft_decrease, vehicle_concentration, vehicles_departed, ships_sortied, ships_returned, ground_works, construction, fire_or_damage</w:t>
            </w:r>
          </w:p>
        </w:tc>
        <w:tc>
          <w:tcPr>
            <w:tcW w:w="3120" w:type="dxa"/>
          </w:tcPr>
          <w:p>
            <w:pPr/>
            <w:r>
              <w:t xml:space="preserve">Pipeline, after review</w:t>
            </w:r>
          </w:p>
        </w:tc>
      </w:tr>
      <w:tr>
        <w:tc>
          <w:tcPr>
            <w:tcW w:w="3120" w:type="dxa"/>
          </w:tcPr>
          <w:p>
            <w:pPr/>
            <w:r>
              <w:t xml:space="preserve">status</w:t>
            </w:r>
          </w:p>
        </w:tc>
        <w:tc>
          <w:tcPr>
            <w:tcW w:w="3120" w:type="dxa"/>
          </w:tcPr>
          <w:p>
            <w:pPr/>
            <w:r>
              <w:t xml:space="preserve">active, reduced, inactive, under_construction</w:t>
            </w:r>
          </w:p>
        </w:tc>
        <w:tc>
          <w:tcPr>
            <w:tcW w:w="3120" w:type="dxa"/>
          </w:tcPr>
          <w:p>
            <w:pPr/>
            <w:r>
              <w:t xml:space="preserve">Human</w:t>
            </w:r>
          </w:p>
        </w:tc>
      </w:tr>
      <w:tr>
        <w:tc>
          <w:tcPr>
            <w:tcW w:w="3120" w:type="dxa"/>
          </w:tcPr>
          <w:p>
            <w:pPr/>
            <w:r>
              <w:t xml:space="preserve">data</w:t>
            </w:r>
          </w:p>
        </w:tc>
        <w:tc>
          <w:tcPr>
            <w:tcW w:w="3120" w:type="dxa"/>
          </w:tcPr>
          <w:p>
            <w:pPr/>
            <w:r>
              <w:t xml:space="preserve">radar_only, polar_night, frequent_cloud</w:t>
            </w:r>
          </w:p>
        </w:tc>
        <w:tc>
          <w:tcPr>
            <w:tcW w:w="3120" w:type="dxa"/>
          </w:tcPr>
          <w:p>
            <w:pPr/>
            <w:r>
              <w:t xml:space="preserve">Pipeline</w:t>
            </w:r>
          </w:p>
        </w:tc>
      </w:tr>
    </w:tbl>
    <w:p>
      <w:pPr/>
      <w:r>
        <w:t xml:space="preserve">Rules:</w:t>
      </w:r>
    </w:p>
    <w:p>
      <w:pPr>
        <w:pStyle w:val="ListParagraph"/>
        <w:numPr>
          <w:ilvl w:val="0"/>
          <w:numId w:val="6"/>
        </w:numPr>
      </w:pPr>
      <w:r>
        <w:t xml:space="preserve">Terms are lowercase slugs with a display label and optional translations; CI rejects any tag not in the vocabulary.</w:t>
      </w:r>
    </w:p>
    <w:p>
      <w:pPr>
        <w:pStyle w:val="ListParagraph"/>
        <w:numPr>
          <w:ilvl w:val="0"/>
          <w:numId w:val="6"/>
        </w:numPr>
      </w:pPr>
      <w:r>
        <w:t xml:space="preserve">Hugo taxonomies are flat lists, so hierarchy (equipment category → type, region → sub-region) is stored as a </w:t>
      </w:r>
      <w:r>
        <w:rPr>
          <w:rStyle w:val="CodeChar"/>
        </w:rPr>
        <w:t xml:space="preserve">parent</w:t>
      </w:r>
      <w:r>
        <w:t xml:space="preserve"> on each term's metadata page and rendered by the term template.</w:t>
      </w:r>
    </w:p>
    <w:p>
      <w:pPr>
        <w:pStyle w:val="ListParagraph"/>
        <w:numPr>
          <w:ilvl w:val="0"/>
          <w:numId w:val="6"/>
        </w:numPr>
      </w:pPr>
      <w:r>
        <w:t xml:space="preserve">Activity tags are time-scoped: a site shows activity from the last 12 weeks prominently and keeps older events in its history; activity term pages list events, not just sites.</w:t>
      </w:r>
    </w:p>
    <w:p>
      <w:pPr>
        <w:pStyle w:val="ListParagraph"/>
        <w:numPr>
          <w:ilvl w:val="0"/>
          <w:numId w:val="6"/>
        </w:numPr>
      </w:pPr>
      <w:r>
        <w:t xml:space="preserve">The overview page filters on any combination of facets, for example country + role + activity in the last 4 weeks, from a prebuilt JSON index.</w:t>
      </w:r>
    </w:p>
    <w:p>
      <w:pPr>
        <w:pStyle w:val="Heading2"/>
      </w:pPr>
      <w:r>
        <w:rPr>
          <w:color w:val="000000"/>
        </w:rPr>
        <w:t>Catalogue sources and ingestion</w:t>
      </w:r>
    </w:p>
    <w:p>
      <w:pPr/>
      <w:r>
        <w:t xml:space="preserve">No single open database links bases, coordinates and units, so the catalogue is assembled from several sources through one pipeline: snapshot, extract, normalise, match, review. Nothing from a source enters the catalogue without human approval, and every accepted fact keeps its provenance.</w:t>
      </w:r>
    </w:p>
    <w:p>
      <w:pPr/>
      <w:r>
        <w:t xml:space="preserve">Each source has a reuse class that decides how it may be ingested:</w:t>
      </w:r>
    </w:p>
    <w:p>
      <w:pPr>
        <w:pStyle w:val="ListParagraph"/>
        <w:numPr>
          <w:ilvl w:val="0"/>
          <w:numId w:val="7"/>
        </w:numPr>
      </w:pPr>
      <w:r>
        <w:rPr>
          <w:b/>
        </w:rPr>
        <w:t xml:space="preserve">import:</w:t>
      </w:r>
      <w:r>
        <w:t xml:space="preserve"> automated download; geometry and facts may be stored and republished with attribution.</w:t>
      </w:r>
    </w:p>
    <w:p>
      <w:pPr>
        <w:pStyle w:val="ListParagraph"/>
        <w:numPr>
          <w:ilvl w:val="0"/>
          <w:numId w:val="7"/>
        </w:numPr>
      </w:pPr>
      <w:r>
        <w:rPr>
          <w:b/>
        </w:rPr>
        <w:t xml:space="preserve">reference:</w:t>
      </w:r>
      <w:r>
        <w:t xml:space="preserve"> read and parsed locally to propose facts for review; only short facts with a citation link are published, never copied text or bulk data.</w:t>
      </w:r>
    </w:p>
    <w:p>
      <w:pPr>
        <w:pStyle w:val="ListParagraph"/>
        <w:numPr>
          <w:ilvl w:val="0"/>
          <w:numId w:val="7"/>
        </w:numPr>
      </w:pPr>
      <w:r>
        <w:rPr>
          <w:b/>
        </w:rPr>
        <w:t xml:space="preserve">manual:</w:t>
      </w:r>
      <w:r>
        <w:t xml:space="preserve"> a human reads the source and enters facts with a citation; no automated retrieval or scraping.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What it adds</w:t>
            </w:r>
          </w:p>
        </w:tc>
        <w:tc>
          <w:tcPr>
            <w:tcW w:w="1872" w:type="dxa"/>
            <w:shd w:val="clear" w:color="auto" w:fill="F2F2F2"/>
          </w:tcPr>
          <w:p>
            <w:pPr/>
            <w:r>
              <w:t xml:space="preserve">Access</w:t>
            </w:r>
          </w:p>
        </w:tc>
        <w:tc>
          <w:tcPr>
            <w:tcW w:w="1872" w:type="dxa"/>
            <w:shd w:val="clear" w:color="auto" w:fill="F2F2F2"/>
          </w:tcPr>
          <w:p>
            <w:pPr/>
            <w:r>
              <w:t xml:space="preserve">Class</w:t>
            </w:r>
          </w:p>
        </w:tc>
        <w:tc>
          <w:tcPr>
            <w:tcW w:w="1872" w:type="dxa"/>
            <w:shd w:val="clear" w:color="auto" w:fill="F2F2F2"/>
          </w:tcPr>
          <w:p>
            <w:pPr/>
            <w:r>
              <w:t xml:space="preserve">Ingest</w:t>
            </w:r>
          </w:p>
        </w:tc>
      </w:tr>
      <w:tr>
        <w:tc>
          <w:tcPr>
            <w:tcW w:w="1872" w:type="dxa"/>
          </w:tcPr>
          <w:p>
            <w:pPr/>
            <w:hyperlink r:id="rId14" w:history="1">
              <w:r>
                <w:rPr>
                  <w:rStyle w:val="Hyperlink"/>
                </w:rPr>
                <w:t xml:space="preserve">OpenStreetMap</w:t>
              </w:r>
            </w:hyperlink>
          </w:p>
        </w:tc>
        <w:tc>
          <w:tcPr>
            <w:tcW w:w="1872" w:type="dxa"/>
          </w:tcPr>
          <w:p>
            <w:pPr/>
            <w:r>
              <w:t xml:space="preserve">Polygons for military land, airfields, aprons, piers</w:t>
            </w:r>
          </w:p>
        </w:tc>
        <w:tc>
          <w:tcPr>
            <w:tcW w:w="1872" w:type="dxa"/>
          </w:tcPr>
          <w:p>
            <w:pPr/>
            <w:r>
              <w:t xml:space="preserve">Geofabrik country extract, filtered locally with osmium</w:t>
            </w:r>
          </w:p>
        </w:tc>
        <w:tc>
          <w:tcPr>
            <w:tcW w:w="1872" w:type="dxa"/>
          </w:tcPr>
          <w:p>
            <w:pPr/>
            <w:r>
              <w:t xml:space="preserve">import (ODbL)</w:t>
            </w:r>
          </w:p>
        </w:tc>
        <w:tc>
          <w:tcPr>
            <w:tcW w:w="1872" w:type="dxa"/>
          </w:tcPr>
          <w:p>
            <w:pPr/>
            <w:r>
              <w:t xml:space="preserve">Connector, monthly diff</w:t>
            </w:r>
          </w:p>
        </w:tc>
      </w:tr>
      <w:tr>
        <w:tc>
          <w:tcPr>
            <w:tcW w:w="1872" w:type="dxa"/>
          </w:tcPr>
          <w:p>
            <w:pPr/>
            <w:r>
              <w:t xml:space="preserve">Wikidata</w:t>
            </w:r>
          </w:p>
        </w:tc>
        <w:tc>
          <w:tcPr>
            <w:tcW w:w="1872" w:type="dxa"/>
          </w:tcPr>
          <w:p>
            <w:pPr/>
            <w:r>
              <w:t xml:space="preserve">Units with HQ location, bases, equipment, ICAO codes, stable ids</w:t>
            </w:r>
          </w:p>
        </w:tc>
        <w:tc>
          <w:tcPr>
            <w:tcW w:w="1872" w:type="dxa"/>
          </w:tcPr>
          <w:p>
            <w:pPr/>
            <w:r>
              <w:t xml:space="preserve">SPARQL endpoint</w:t>
            </w:r>
          </w:p>
        </w:tc>
        <w:tc>
          <w:tcPr>
            <w:tcW w:w="1872" w:type="dxa"/>
          </w:tcPr>
          <w:p>
            <w:pPr/>
            <w:r>
              <w:t xml:space="preserve">import (CC0)</w:t>
            </w:r>
          </w:p>
        </w:tc>
        <w:tc>
          <w:tcPr>
            <w:tcW w:w="1872" w:type="dxa"/>
          </w:tcPr>
          <w:p>
            <w:pPr/>
            <w:r>
              <w:t xml:space="preserve">Connector, monthly diff</w:t>
            </w:r>
          </w:p>
        </w:tc>
      </w:tr>
      <w:tr>
        <w:tc>
          <w:tcPr>
            <w:tcW w:w="1872" w:type="dxa"/>
          </w:tcPr>
          <w:p>
            <w:pPr/>
            <w:hyperlink r:id="rId15" w:history="1">
              <w:r>
                <w:rPr>
                  <w:rStyle w:val="Hyperlink"/>
                </w:rPr>
                <w:t xml:space="preserve">OurAirports</w:t>
              </w:r>
            </w:hyperlink>
          </w:p>
        </w:tc>
        <w:tc>
          <w:tcPr>
            <w:tcW w:w="1872" w:type="dxa"/>
          </w:tcPr>
          <w:p>
            <w:pPr/>
            <w:r>
              <w:t xml:space="preserve">Airfield coordinates, runways, ICAO idents</w:t>
            </w:r>
          </w:p>
        </w:tc>
        <w:tc>
          <w:tcPr>
            <w:tcW w:w="1872" w:type="dxa"/>
          </w:tcPr>
          <w:p>
            <w:pPr/>
            <w:r>
              <w:t xml:space="preserve">Daily CSV on GitHub</w:t>
            </w:r>
          </w:p>
        </w:tc>
        <w:tc>
          <w:tcPr>
            <w:tcW w:w="1872" w:type="dxa"/>
          </w:tcPr>
          <w:p>
            <w:pPr/>
            <w:r>
              <w:t xml:space="preserve">import (public domain)</w:t>
            </w:r>
          </w:p>
        </w:tc>
        <w:tc>
          <w:tcPr>
            <w:tcW w:w="1872" w:type="dxa"/>
          </w:tcPr>
          <w:p>
            <w:pPr/>
            <w:r>
              <w:t xml:space="preserve">Connector, monthly</w:t>
            </w:r>
          </w:p>
        </w:tc>
      </w:tr>
      <w:tr>
        <w:tc>
          <w:tcPr>
            <w:tcW w:w="1872" w:type="dxa"/>
          </w:tcPr>
          <w:p>
            <w:pPr/>
            <w:r>
              <w:t xml:space="preserve">GeoNames</w:t>
            </w:r>
          </w:p>
        </w:tc>
        <w:tc>
          <w:tcPr>
            <w:tcW w:w="1872" w:type="dxa"/>
          </w:tcPr>
          <w:p>
            <w:pPr/>
            <w:r>
              <w:t xml:space="preserve">Coordinates for garrison towns named in OOB sources</w:t>
            </w:r>
          </w:p>
        </w:tc>
        <w:tc>
          <w:tcPr>
            <w:tcW w:w="1872" w:type="dxa"/>
          </w:tcPr>
          <w:p>
            <w:pPr/>
            <w:r>
              <w:t xml:space="preserve">Country dump</w:t>
            </w:r>
          </w:p>
        </w:tc>
        <w:tc>
          <w:tcPr>
            <w:tcW w:w="1872" w:type="dxa"/>
          </w:tcPr>
          <w:p>
            <w:pPr/>
            <w:r>
              <w:t xml:space="preserve">import (CC BY)</w:t>
            </w:r>
          </w:p>
        </w:tc>
        <w:tc>
          <w:tcPr>
            <w:tcW w:w="1872" w:type="dxa"/>
          </w:tcPr>
          <w:p>
            <w:pPr/>
            <w:r>
              <w:t xml:space="preserve">Local gazetteer lookup</w:t>
            </w:r>
          </w:p>
        </w:tc>
      </w:tr>
      <w:tr>
        <w:tc>
          <w:tcPr>
            <w:tcW w:w="1872" w:type="dxa"/>
          </w:tcPr>
          <w:p>
            <w:pPr/>
            <w:hyperlink r:id="rId16" w:history="1">
              <w:r>
                <w:rPr>
                  <w:rStyle w:val="Hyperlink"/>
                </w:rPr>
                <w:t xml:space="preserve">ISW ground forces OOB</w:t>
              </w:r>
            </w:hyperlink>
          </w:p>
        </w:tc>
        <w:tc>
          <w:tcPr>
            <w:tcW w:w="1872" w:type="dxa"/>
          </w:tcPr>
          <w:p>
            <w:pPr/>
            <w:r>
              <w:t xml:space="preserve">Ground units down to regiment, with garrison towns</w:t>
            </w:r>
          </w:p>
        </w:tc>
        <w:tc>
          <w:tcPr>
            <w:tcW w:w="1872" w:type="dxa"/>
          </w:tcPr>
          <w:p>
            <w:pPr/>
            <w:r>
              <w:t xml:space="preserve">PDF report (Oct 2023) and storymap</w:t>
            </w:r>
          </w:p>
        </w:tc>
        <w:tc>
          <w:tcPr>
            <w:tcW w:w="1872" w:type="dxa"/>
          </w:tcPr>
          <w:p>
            <w:pPr/>
            <w:r>
              <w:t xml:space="preserve">reference</w:t>
            </w:r>
          </w:p>
        </w:tc>
        <w:tc>
          <w:tcPr>
            <w:tcW w:w="1872" w:type="dxa"/>
          </w:tcPr>
          <w:p>
            <w:pPr/>
            <w:r>
              <w:t xml:space="preserve">PDF extractor → review; never scrape the storymap's services</w:t>
            </w:r>
          </w:p>
        </w:tc>
      </w:tr>
      <w:tr>
        <w:tc>
          <w:tcPr>
            <w:tcW w:w="1872" w:type="dxa"/>
          </w:tcPr>
          <w:p>
            <w:pPr/>
            <w:hyperlink r:id="rId17" w:history="1">
              <w:r>
                <w:rPr>
                  <w:rStyle w:val="Hyperlink"/>
                </w:rPr>
                <w:t xml:space="preserve">CNA district reports</w:t>
              </w:r>
            </w:hyperlink>
          </w:p>
        </w:tc>
        <w:tc>
          <w:tcPr>
            <w:tcW w:w="1872" w:type="dxa"/>
          </w:tcPr>
          <w:p>
            <w:pPr/>
            <w:r>
              <w:t xml:space="preserve">Units, roles and fielded equipment per military district</w:t>
            </w:r>
          </w:p>
        </w:tc>
        <w:tc>
          <w:tcPr>
            <w:tcW w:w="1872" w:type="dxa"/>
          </w:tcPr>
          <w:p>
            <w:pPr/>
            <w:r>
              <w:t xml:space="preserve">PDF</w:t>
            </w:r>
          </w:p>
        </w:tc>
        <w:tc>
          <w:tcPr>
            <w:tcW w:w="1872" w:type="dxa"/>
          </w:tcPr>
          <w:p>
            <w:pPr/>
            <w:r>
              <w:t xml:space="preserve">reference</w:t>
            </w:r>
          </w:p>
        </w:tc>
        <w:tc>
          <w:tcPr>
            <w:tcW w:w="1872" w:type="dxa"/>
          </w:tcPr>
          <w:p>
            <w:pPr/>
            <w:r>
              <w:t xml:space="preserve">PDF extractor → review</w:t>
            </w:r>
          </w:p>
        </w:tc>
      </w:tr>
      <w:tr>
        <w:tc>
          <w:tcPr>
            <w:tcW w:w="1872" w:type="dxa"/>
          </w:tcPr>
          <w:p>
            <w:pPr/>
            <w:hyperlink r:id="rId18" w:history="1">
              <w:r>
                <w:rPr>
                  <w:rStyle w:val="Hyperlink"/>
                </w:rPr>
                <w:t xml:space="preserve">US Army TRADOC guide</w:t>
              </w:r>
            </w:hyperlink>
          </w:p>
        </w:tc>
        <w:tc>
          <w:tcPr>
            <w:tcW w:w="1872" w:type="dxa"/>
          </w:tcPr>
          <w:p>
            <w:pPr/>
            <w:r>
              <w:t xml:space="preserve">OOB per district, Northern Fleet, Airborne Forces</w:t>
            </w:r>
          </w:p>
        </w:tc>
        <w:tc>
          <w:tcPr>
            <w:tcW w:w="1872" w:type="dxa"/>
          </w:tcPr>
          <w:p>
            <w:pPr/>
            <w:r>
              <w:t xml:space="preserve">PDF</w:t>
            </w:r>
          </w:p>
        </w:tc>
        <w:tc>
          <w:tcPr>
            <w:tcW w:w="1872" w:type="dxa"/>
          </w:tcPr>
          <w:p>
            <w:pPr/>
            <w:r>
              <w:t xml:space="preserve">reference</w:t>
            </w:r>
          </w:p>
        </w:tc>
        <w:tc>
          <w:tcPr>
            <w:tcW w:w="1872" w:type="dxa"/>
          </w:tcPr>
          <w:p>
            <w:pPr/>
            <w:r>
              <w:t xml:space="preserve">PDF extractor → review</w:t>
            </w:r>
          </w:p>
        </w:tc>
      </w:tr>
      <w:tr>
        <w:tc>
          <w:tcPr>
            <w:tcW w:w="1872" w:type="dxa"/>
          </w:tcPr>
          <w:p>
            <w:pPr/>
            <w:hyperlink r:id="rId19" w:history="1">
              <w:r>
                <w:rPr>
                  <w:rStyle w:val="Hyperlink"/>
                </w:rPr>
                <w:t xml:space="preserve">FAS Nuclear Notebook</w:t>
              </w:r>
            </w:hyperlink>
          </w:p>
        </w:tc>
        <w:tc>
          <w:tcPr>
            <w:tcW w:w="1872" w:type="dxa"/>
          </w:tcPr>
          <w:p>
            <w:pPr/>
            <w:r>
              <w:t xml:space="preserve">Strategic bomber, submarine, ICBM and storage sites</w:t>
            </w:r>
          </w:p>
        </w:tc>
        <w:tc>
          <w:tcPr>
            <w:tcW w:w="1872" w:type="dxa"/>
          </w:tcPr>
          <w:p>
            <w:pPr/>
            <w:r>
              <w:t xml:space="preserve">Annual article</w:t>
            </w:r>
          </w:p>
        </w:tc>
        <w:tc>
          <w:tcPr>
            <w:tcW w:w="1872" w:type="dxa"/>
          </w:tcPr>
          <w:p>
            <w:pPr/>
            <w:r>
              <w:t xml:space="preserve">manual</w:t>
            </w:r>
          </w:p>
        </w:tc>
        <w:tc>
          <w:tcPr>
            <w:tcW w:w="1872" w:type="dxa"/>
          </w:tcPr>
          <w:p>
            <w:pPr/>
            <w:r>
              <w:t xml:space="preserve">Human entry with citation</w:t>
            </w:r>
          </w:p>
        </w:tc>
      </w:tr>
      <w:tr>
        <w:tc>
          <w:tcPr>
            <w:tcW w:w="1872" w:type="dxa"/>
          </w:tcPr>
          <w:p>
            <w:pPr/>
            <w:hyperlink r:id="rId20" w:history="1">
              <w:r>
                <w:rPr>
                  <w:rStyle w:val="Hyperlink"/>
                </w:rPr>
                <w:t xml:space="preserve">GlobalMilitary.net</w:t>
              </w:r>
            </w:hyperlink>
          </w:p>
        </w:tc>
        <w:tc>
          <w:tcPr>
            <w:tcW w:w="1872" w:type="dxa"/>
          </w:tcPr>
          <w:p>
            <w:pPr/>
            <w:r>
              <w:t xml:space="preserve">Russian air bases (107) and naval bases (19) with based aircraft and units</w:t>
            </w:r>
          </w:p>
        </w:tc>
        <w:tc>
          <w:tcPr>
            <w:tcW w:w="1872" w:type="dxa"/>
          </w:tcPr>
          <w:p>
            <w:pPr/>
            <w:r>
              <w:t xml:space="preserve">Web pages only, no bulk download</w:t>
            </w:r>
          </w:p>
        </w:tc>
        <w:tc>
          <w:tcPr>
            <w:tcW w:w="1872" w:type="dxa"/>
          </w:tcPr>
          <w:p>
            <w:pPr/>
            <w:r>
              <w:t xml:space="preserve">manual</w:t>
            </w:r>
          </w:p>
        </w:tc>
        <w:tc>
          <w:tcPr>
            <w:tcW w:w="1872" w:type="dxa"/>
          </w:tcPr>
          <w:p>
            <w:pPr/>
            <w:r>
              <w:t xml:space="preserve">Human cross-check per site</w:t>
            </w:r>
          </w:p>
        </w:tc>
      </w:tr>
      <w:tr>
        <w:tc>
          <w:tcPr>
            <w:tcW w:w="1872" w:type="dxa"/>
          </w:tcPr>
          <w:p>
            <w:pPr/>
            <w:hyperlink r:id="rId21" w:history="1">
              <w:r>
                <w:rPr>
                  <w:rStyle w:val="Hyperlink"/>
                </w:rPr>
                <w:t xml:space="preserve">GlobalSecurity.org</w:t>
              </w:r>
            </w:hyperlink>
            <w:r>
              <w:t xml:space="preserve"> and Russian unit-number sites</w:t>
            </w:r>
          </w:p>
        </w:tc>
        <w:tc>
          <w:tcPr>
            <w:tcW w:w="1872" w:type="dxa"/>
          </w:tcPr>
          <w:p>
            <w:pPr/>
            <w:r>
              <w:t xml:space="preserve">Unit histories, unit numbers, towns</w:t>
            </w:r>
          </w:p>
        </w:tc>
        <w:tc>
          <w:tcPr>
            <w:tcW w:w="1872" w:type="dxa"/>
          </w:tcPr>
          <w:p>
            <w:pPr/>
            <w:r>
              <w:t xml:space="preserve">Web pages</w:t>
            </w:r>
          </w:p>
        </w:tc>
        <w:tc>
          <w:tcPr>
            <w:tcW w:w="1872" w:type="dxa"/>
          </w:tcPr>
          <w:p>
            <w:pPr/>
            <w:r>
              <w:t xml:space="preserve">manual</w:t>
            </w:r>
          </w:p>
        </w:tc>
        <w:tc>
          <w:tcPr>
            <w:tcW w:w="1872" w:type="dxa"/>
          </w:tcPr>
          <w:p>
            <w:pPr/>
            <w:r>
              <w:t xml:space="preserve">Human lookup; low confidence on its own</w:t>
            </w:r>
          </w:p>
        </w:tc>
      </w:tr>
      <w:tr>
        <w:tc>
          <w:tcPr>
            <w:tcW w:w="1872" w:type="dxa"/>
          </w:tcPr>
          <w:p>
            <w:pPr/>
            <w:r>
              <w:t xml:space="preserve">Wikipedia</w:t>
            </w:r>
          </w:p>
        </w:tc>
        <w:tc>
          <w:tcPr>
            <w:tcW w:w="1872" w:type="dxa"/>
          </w:tcPr>
          <w:p>
            <w:pPr/>
            <w:r>
              <w:t xml:space="preserve">Unit and base articles</w:t>
            </w:r>
          </w:p>
        </w:tc>
        <w:tc>
          <w:tcPr>
            <w:tcW w:w="1872" w:type="dxa"/>
          </w:tcPr>
          <w:p>
            <w:pPr/>
            <w:r>
              <w:t xml:space="preserve">Web pages</w:t>
            </w:r>
          </w:p>
        </w:tc>
        <w:tc>
          <w:tcPr>
            <w:tcW w:w="1872" w:type="dxa"/>
          </w:tcPr>
          <w:p>
            <w:pPr/>
            <w:r>
              <w:t xml:space="preserve">reference</w:t>
            </w:r>
          </w:p>
        </w:tc>
        <w:tc>
          <w:tcPr>
            <w:tcW w:w="1872" w:type="dxa"/>
          </w:tcPr>
          <w:p>
            <w:pPr/>
            <w:r>
              <w:t xml:space="preserve">Links only; structured facts come via Wikidata</w:t>
            </w:r>
          </w:p>
        </w:tc>
      </w:tr>
    </w:tbl>
    <w:p>
      <w:pPr/>
      <w:r>
        <w:t xml:space="preserve">Excluded outright: sources built on leaked or hacked personal data (for example the OSINT Varta map of defence-industry employees), and any source whose terms forbid reuse.</w:t>
      </w:r>
    </w:p>
    <w:p>
      <w:pPr/>
      <w:r>
        <w:t xml:space="preserve">Pipeline (</w:t>
      </w:r>
      <w:r>
        <w:rPr>
          <w:rStyle w:val="CodeChar"/>
        </w:rPr>
        <w:t xml:space="preserve">basewatch sources …</w:t>
      </w:r>
      <w:r>
        <w:t xml:space="preserve">):</w:t>
      </w:r>
    </w:p>
    <w:p>
      <w:pPr>
        <w:pStyle w:val="ListParagraph"/>
        <w:numPr>
          <w:ilvl w:val="0"/>
          <w:numId w:val="8"/>
        </w:numPr>
      </w:pPr>
      <w:r>
        <w:rPr>
          <w:b/>
        </w:rPr>
        <w:t xml:space="preserve">Snapshot.</w:t>
      </w:r>
      <w:r>
        <w:t xml:space="preserve"> </w:t>
      </w:r>
      <w:r>
        <w:rPr>
          <w:rStyle w:val="CodeChar"/>
        </w:rPr>
        <w:t xml:space="preserve">sources fetch &lt;source&gt; --country RUS</w:t>
      </w:r>
      <w:r>
        <w:t xml:space="preserve"> downloads import-class sources into </w:t>
      </w:r>
      <w:r>
        <w:rPr>
          <w:rStyle w:val="CodeChar"/>
        </w:rPr>
        <w:t xml:space="preserve">~/basewatch-data/sources/&lt;source&gt;/&lt;date&gt;/</w:t>
      </w:r>
      <w:r>
        <w:t xml:space="preserve"> with a manifest: URL, retrieval time, SHA-256 and licence. Snapshots are immutable, so every proposal traces to the exact file that produced it.</w:t>
      </w:r>
    </w:p>
    <w:p>
      <w:pPr>
        <w:pStyle w:val="ListParagraph"/>
        <w:numPr>
          <w:ilvl w:val="0"/>
          <w:numId w:val="8"/>
        </w:numPr>
      </w:pPr>
      <w:r>
        <w:rPr>
          <w:b/>
        </w:rPr>
        <w:t xml:space="preserve">Extract.</w:t>
      </w:r>
      <w:r>
        <w:t xml:space="preserve"> osmium filters the OSM extract for military tags; SPARQL returns units, bases and equipment for the country; OurAirports rows are joined to runways. For PDFs, </w:t>
      </w:r>
      <w:r>
        <w:rPr>
          <w:rStyle w:val="CodeChar"/>
        </w:rPr>
        <w:t xml:space="preserve">sources extract &lt;file&gt;</w:t>
      </w:r>
      <w:r>
        <w:t xml:space="preserve"> uses pdfplumber to pull tables and text, then pattern rules capture unit designations with garrison towns and page numbers.</w:t>
      </w:r>
    </w:p>
    <w:p>
      <w:pPr>
        <w:pStyle w:val="ListParagraph"/>
        <w:numPr>
          <w:ilvl w:val="0"/>
          <w:numId w:val="8"/>
        </w:numPr>
      </w:pPr>
      <w:r>
        <w:rPr>
          <w:b/>
        </w:rPr>
        <w:t xml:space="preserve">Normalise</w:t>
      </w:r>
      <w:r>
        <w:t xml:space="preserve"> into DuckDB staging tables </w:t>
      </w:r>
      <w:r>
        <w:rPr>
          <w:rStyle w:val="CodeChar"/>
        </w:rPr>
        <w:t xml:space="preserve">stg_site</w:t>
      </w:r>
      <w:r>
        <w:t xml:space="preserve">, </w:t>
      </w:r>
      <w:r>
        <w:rPr>
          <w:rStyle w:val="CodeChar"/>
        </w:rPr>
        <w:t xml:space="preserve">stg_unit</w:t>
      </w:r>
      <w:r>
        <w:t xml:space="preserve">, </w:t>
      </w:r>
      <w:r>
        <w:rPr>
          <w:rStyle w:val="CodeChar"/>
        </w:rPr>
        <w:t xml:space="preserve">stg_equipment</w:t>
      </w:r>
      <w:r>
        <w:t xml:space="preserve"> and </w:t>
      </w:r>
      <w:r>
        <w:rPr>
          <w:rStyle w:val="CodeChar"/>
        </w:rPr>
        <w:t xml:space="preserve">stg_link</w:t>
      </w:r>
      <w:r>
        <w:t xml:space="preserve">; every row carries </w:t>
      </w:r>
      <w:r>
        <w:rPr>
          <w:rStyle w:val="CodeChar"/>
        </w:rPr>
        <w:t xml:space="preserve">source</w:t>
      </w:r>
      <w:r>
        <w:t xml:space="preserve">, </w:t>
      </w:r>
      <w:r>
        <w:rPr>
          <w:rStyle w:val="CodeChar"/>
        </w:rPr>
        <w:t xml:space="preserve">source_record</w:t>
      </w:r>
      <w:r>
        <w:t xml:space="preserve">, </w:t>
      </w:r>
      <w:r>
        <w:rPr>
          <w:rStyle w:val="CodeChar"/>
        </w:rPr>
        <w:t xml:space="preserve">page</w:t>
      </w:r>
      <w:r>
        <w:t xml:space="preserve"> and </w:t>
      </w:r>
      <w:r>
        <w:rPr>
          <w:rStyle w:val="CodeChar"/>
        </w:rPr>
        <w:t xml:space="preserve">retrieved</w:t>
      </w:r>
      <w:r>
        <w:t xml:space="preserve">. Names are kept in Cyrillic and Latin, with a match key from one fixed transliteration (BGN/PCGN) and honorifics such as Guards or Red Banner moved to their own field. Designations are normalised to number + type, so variants of one brigade's name collapse to one key.</w:t>
      </w:r>
    </w:p>
    <w:p>
      <w:pPr>
        <w:pStyle w:val="ListParagraph"/>
        <w:numPr>
          <w:ilvl w:val="0"/>
          <w:numId w:val="8"/>
        </w:numPr>
      </w:pPr>
      <w:r>
        <w:rPr>
          <w:b/>
        </w:rPr>
        <w:t xml:space="preserve">Geocode</w:t>
      </w:r>
      <w:r>
        <w:t xml:space="preserve"> garrison towns with the local GeoNames gazetteer, disambiguated by region; keep every candidate when a town name is ambiguous.</w:t>
      </w:r>
    </w:p>
    <w:p>
      <w:pPr>
        <w:pStyle w:val="ListParagraph"/>
        <w:numPr>
          <w:ilvl w:val="0"/>
          <w:numId w:val="8"/>
        </w:numPr>
      </w:pPr>
      <w:r>
        <w:rPr>
          <w:b/>
        </w:rPr>
        <w:t xml:space="preserve">Match sites.</w:t>
      </w:r>
      <w:r>
        <w:t xml:space="preserve"> Cluster candidates across sources on a shared ICAO code, or on distance under 3 km for airfields plus name similarity above 0.85 (rapidfuzz). OSM polygons become the site's AOI; points from other sources only confirm it.</w:t>
      </w:r>
    </w:p>
    <w:p>
      <w:pPr>
        <w:pStyle w:val="ListParagraph"/>
        <w:numPr>
          <w:ilvl w:val="0"/>
          <w:numId w:val="8"/>
        </w:numPr>
      </w:pPr>
      <w:r>
        <w:rPr>
          <w:b/>
        </w:rPr>
        <w:t xml:space="preserve">Match units</w:t>
      </w:r>
      <w:r>
        <w:t xml:space="preserve"> on Wikidata id when present, otherwise on normalised designation + branch.</w:t>
      </w:r>
    </w:p>
    <w:p>
      <w:pPr>
        <w:pStyle w:val="ListParagraph"/>
        <w:numPr>
          <w:ilvl w:val="0"/>
          <w:numId w:val="8"/>
        </w:numPr>
      </w:pPr>
      <w:r>
        <w:rPr>
          <w:b/>
        </w:rPr>
        <w:t xml:space="preserve">Propose links.</w:t>
      </w:r>
      <w:r>
        <w:t xml:space="preserve"> For each unit with a garrison town, rank catalogue sites within 30 km whose type fits the unit (aviation regiment → airbase, brigade → garrison or training area, fleet unit → naval base). The top candidates go to review; the pipeline never picks one itself.</w:t>
      </w:r>
    </w:p>
    <w:p>
      <w:pPr>
        <w:pStyle w:val="ListParagraph"/>
        <w:numPr>
          <w:ilvl w:val="0"/>
          <w:numId w:val="8"/>
        </w:numPr>
      </w:pPr>
      <w:r>
        <w:rPr>
          <w:b/>
        </w:rPr>
        <w:t xml:space="preserve">Confidence.</w:t>
      </w:r>
      <w:r>
        <w:t xml:space="preserve"> Confirmed: two independent sources or an official one. Likely: one reputable order-of-battle source. Reported: one secondary source. Disagreements are kept as alternative claims with their sources, never overwritten.</w:t>
      </w:r>
    </w:p>
    <w:p>
      <w:pPr>
        <w:pStyle w:val="ListParagraph"/>
        <w:numPr>
          <w:ilvl w:val="0"/>
          <w:numId w:val="8"/>
        </w:numPr>
      </w:pPr>
      <w:r>
        <w:rPr>
          <w:b/>
        </w:rPr>
        <w:t xml:space="preserve">Review.</w:t>
      </w:r>
      <w:r>
        <w:t xml:space="preserve"> </w:t>
      </w:r>
      <w:r>
        <w:rPr>
          <w:rStyle w:val="CodeChar"/>
        </w:rPr>
        <w:t xml:space="preserve">basewatch catalogue review</w:t>
      </w:r>
      <w:r>
        <w:t xml:space="preserve"> adds a catalogue queue to the local review app. Each proposal (new site, unit, link or change) shows a map preview, the source rows and page references; accept, edit or reject. Accepted items are written to YAML and GeoJSON with provenance; rejections are remembered so they are not proposed again.</w:t>
      </w:r>
    </w:p>
    <w:p>
      <w:pPr>
        <w:pStyle w:val="ListParagraph"/>
        <w:numPr>
          <w:ilvl w:val="0"/>
          <w:numId w:val="8"/>
        </w:numPr>
      </w:pPr>
      <w:r>
        <w:rPr>
          <w:b/>
        </w:rPr>
        <w:t xml:space="preserve">Refresh.</w:t>
      </w:r>
      <w:r>
        <w:t xml:space="preserve"> Re-run import sources monthly so only new or changed records create proposals. Re-run PDF extraction when a new edition appears, and flag links older than 12 months for re-check.</w:t>
      </w:r>
    </w:p>
    <w:p>
      <w:pPr/>
      <w:r>
        <w:t xml:space="preserve">The distance and similarity thresholds are starting values in </w:t>
      </w:r>
      <w:r>
        <w:rPr>
          <w:rStyle w:val="CodeChar"/>
        </w:rPr>
        <w:t xml:space="preserve">settings.yaml</w:t>
      </w:r>
      <w:r>
        <w:t xml:space="preserve">.</w:t>
      </w:r>
    </w:p>
    <w:p>
      <w:pPr/>
      <w:r>
        <w:t xml:space="preserve">Russia seed plan:</w:t>
      </w:r>
    </w:p>
    <w:p>
      <w:pPr>
        <w:pStyle w:val="ListParagraph"/>
        <w:numPr>
          <w:ilvl w:val="0"/>
          <w:numId w:val="9"/>
        </w:numPr>
      </w:pPr>
      <w:r>
        <w:rPr>
          <w:b/>
        </w:rPr>
        <w:t xml:space="preserve">Airbases.</w:t>
      </w:r>
      <w:r>
        <w:t xml:space="preserve"> OSM military aerodromes + OurAirports + Wikidata airbase items, matched on ICAO code and distance. Cross-check by hand against GlobalMilitary.net's 107 entries and add its based-aircraft and unit claims as manual-class citations.</w:t>
      </w:r>
    </w:p>
    <w:p>
      <w:pPr>
        <w:pStyle w:val="ListParagraph"/>
        <w:numPr>
          <w:ilvl w:val="0"/>
          <w:numId w:val="9"/>
        </w:numPr>
      </w:pPr>
      <w:r>
        <w:rPr>
          <w:b/>
        </w:rPr>
        <w:t xml:space="preserve">Naval bases.</w:t>
      </w:r>
      <w:r>
        <w:t xml:space="preserve"> OSM naval and harbour features + Wikidata, with FAS for submarine bases; cross-check against GlobalMilitary.net's 19 naval bases.</w:t>
      </w:r>
    </w:p>
    <w:p>
      <w:pPr>
        <w:pStyle w:val="ListParagraph"/>
        <w:numPr>
          <w:ilvl w:val="0"/>
          <w:numId w:val="9"/>
        </w:numPr>
      </w:pPr>
      <w:r>
        <w:rPr>
          <w:b/>
        </w:rPr>
        <w:t xml:space="preserve">Ground garrisons and training areas.</w:t>
      </w:r>
      <w:r>
        <w:t xml:space="preserve"> ISW, CNA and TRADOC garrison towns → GeoNames → OSM military land near each town → a human picks the polygon.</w:t>
      </w:r>
    </w:p>
    <w:p>
      <w:pPr>
        <w:pStyle w:val="ListParagraph"/>
        <w:numPr>
          <w:ilvl w:val="0"/>
          <w:numId w:val="9"/>
        </w:numPr>
      </w:pPr>
      <w:r>
        <w:rPr>
          <w:b/>
        </w:rPr>
        <w:t xml:space="preserve">Strategic and nuclear-related sites.</w:t>
      </w:r>
      <w:r>
        <w:t xml:space="preserve"> Entered by hand from the FAS Nuclear Notebook with citations.</w:t>
      </w:r>
    </w:p>
    <w:p>
      <w:pPr>
        <w:pStyle w:val="ListParagraph"/>
        <w:numPr>
          <w:ilvl w:val="0"/>
          <w:numId w:val="9"/>
        </w:numPr>
      </w:pPr>
      <w:r>
        <w:rPr>
          <w:b/>
        </w:rPr>
        <w:t xml:space="preserve">Units and equipment.</w:t>
      </w:r>
      <w:r>
        <w:t xml:space="preserve"> Wikidata units first, then order-of-battle extracts; equipment links from those extracts plus manual cross-checks.</w:t>
      </w:r>
    </w:p>
    <w:p>
      <w:pPr/>
      <w:r>
        <w:t xml:space="preserve">Order-of-battle sources describe home garrisons, and many ground units have deployed away since 2022. Garrison links are therefore home-base facts with an as-of date, not current locations.</w:t>
      </w:r>
    </w:p>
    <w:p>
      <w:pPr>
        <w:pStyle w:val="Heading2"/>
      </w:pPr>
      <w:r>
        <w:rPr>
          <w:color w:val="000000"/>
        </w:rPr>
        <w:t>Ingest and preprocessing</w:t>
      </w:r>
    </w:p>
    <w:p>
      <w:pPr/>
      <w:r>
        <w:t xml:space="preserve">Each unit of work is one site × one ISO week. Chips are cached on local disk so re-analysis never re-downloads, and every run catches up on weeks missed while the computer was off.</w:t>
      </w:r>
    </w:p>
    <w:p>
      <w:pPr>
        <w:pStyle w:val="ListParagraph"/>
        <w:numPr>
          <w:ilvl w:val="0"/>
          <w:numId w:val="10"/>
        </w:numPr>
      </w:pPr>
      <w:r>
        <w:rPr>
          <w:b/>
        </w:rPr>
        <w:t xml:space="preserve">Window.</w:t>
      </w:r>
      <w:r>
        <w:t xml:space="preserve"> Process every ISO week (Mon 00:00 to Sun 23:59 UTC) since the last successful run, then re-check the two weeks before it and re-score them if late scenes arrived. Every output carries </w:t>
      </w:r>
      <w:r>
        <w:rPr>
          <w:rStyle w:val="CodeChar"/>
        </w:rPr>
        <w:t xml:space="preserve">algo_version</w:t>
      </w:r>
      <w:r>
        <w:t xml:space="preserve"> and </w:t>
      </w:r>
      <w:r>
        <w:rPr>
          <w:rStyle w:val="CodeChar"/>
        </w:rPr>
        <w:t xml:space="preserve">processed_at</w:t>
      </w:r>
      <w:r>
        <w:t xml:space="preserve">.</w:t>
      </w:r>
    </w:p>
    <w:p>
      <w:pPr>
        <w:pStyle w:val="ListParagraph"/>
        <w:numPr>
          <w:ilvl w:val="0"/>
          <w:numId w:val="10"/>
        </w:numPr>
      </w:pPr>
      <w:r>
        <w:rPr>
          <w:b/>
        </w:rPr>
        <w:t xml:space="preserve">Discover.</w:t>
      </w:r>
      <w:r>
        <w:t xml:space="preserve"> Sentinel-2: STAC search by AOI bounding box and window, skipping only scenes above 90 % cloud, because scene-level cloud says little about a 5 km AOI. Sentinel-1: Sentinel Hub Catalog search for </w:t>
      </w:r>
      <w:r>
        <w:rPr>
          <w:rStyle w:val="CodeChar"/>
        </w:rPr>
        <w:t xml:space="preserve">sentinel-1-grd</w:t>
      </w:r>
      <w:r>
        <w:t xml:space="preserve">, recording mode, polarisation, orbit direction and relative orbit.</w:t>
      </w:r>
    </w:p>
    <w:p>
      <w:pPr>
        <w:pStyle w:val="ListParagraph"/>
        <w:numPr>
          <w:ilvl w:val="0"/>
          <w:numId w:val="10"/>
        </w:numPr>
      </w:pPr>
      <w:r>
        <w:rPr>
          <w:b/>
        </w:rPr>
        <w:t xml:space="preserve">Fetch and cache.</w:t>
      </w:r>
      <w:r>
        <w:t xml:space="preserve"> Skip any acquisition already in </w:t>
      </w:r>
      <w:r>
        <w:rPr>
          <w:rStyle w:val="CodeChar"/>
        </w:rPr>
        <w:t xml:space="preserve">cache/</w:t>
      </w:r>
      <w:r>
        <w:t xml:space="preserve">. Sentinel-2: read B02, B03, B04, B08, B11, B12 and SCL for the AOI window with odc-stac, resampling 20 m bands bilinearly. Sentinel-1: one Process API request per acquisition returning linear γ0 for both polarisations, </w:t>
      </w:r>
      <w:r>
        <w:rPr>
          <w:rStyle w:val="CodeChar"/>
        </w:rPr>
        <w:t xml:space="preserve">shadowMask</w:t>
      </w:r>
      <w:r>
        <w:t xml:space="preserve"> and </w:t>
      </w:r>
      <w:r>
        <w:rPr>
          <w:rStyle w:val="CodeChar"/>
        </w:rPr>
        <w:t xml:space="preserve">dataMask</w:t>
      </w:r>
      <w:r>
        <w:t xml:space="preserve">. Store each chip as a compressed COG named by site, sensor and acquisition time.</w:t>
      </w:r>
    </w:p>
    <w:p>
      <w:pPr>
        <w:pStyle w:val="ListParagraph"/>
        <w:numPr>
          <w:ilvl w:val="0"/>
          <w:numId w:val="10"/>
        </w:numPr>
      </w:pPr>
      <w:r>
        <w:rPr>
          <w:b/>
        </w:rPr>
        <w:t xml:space="preserve">Grid.</w:t>
      </w:r>
      <w:r>
        <w:t xml:space="preserve"> Each site has one fixed grid: the UTM zone of its centroid (northern or southern variant) at 10 m with a snapped origin, or polar stereographic above 84° N and below 80° S. AOIs that cross the antimeridian are split for queries and re-joined on the site grid.</w:t>
      </w:r>
    </w:p>
    <w:p>
      <w:pPr>
        <w:pStyle w:val="ListParagraph"/>
        <w:numPr>
          <w:ilvl w:val="0"/>
          <w:numId w:val="10"/>
        </w:numPr>
      </w:pPr>
      <w:r>
        <w:rPr>
          <w:b/>
        </w:rPr>
        <w:t xml:space="preserve">Mask.</w:t>
      </w:r>
      <w:r>
        <w:t xml:space="preserve"> Sentinel-2: keep SCL classes 4, 5, 6, 7 and 11; drop 0–3 and 8–10 (no data, defective, dark or shadow, cloud, cirrus); dilate the cloud mask by 2 px. Skip any zone with under 60 % valid pixels. Sentinel-1: drop no-data and shadow pixels.</w:t>
      </w:r>
    </w:p>
    <w:p>
      <w:pPr>
        <w:pStyle w:val="ListParagraph"/>
        <w:numPr>
          <w:ilvl w:val="0"/>
          <w:numId w:val="10"/>
        </w:numPr>
      </w:pPr>
      <w:r>
        <w:rPr>
          <w:b/>
        </w:rPr>
        <w:t xml:space="preserve">Normalise.</w:t>
      </w:r>
      <w:r>
        <w:t xml:space="preserve"> Convert radar to dB and group acquisitions by (orbit direction, relative orbit) so every comparison shares a viewing geometry. Record sun elevation and snow fraction for optical scenes.</w:t>
      </w:r>
    </w:p>
    <w:p>
      <w:pPr>
        <w:pStyle w:val="ListParagraph"/>
        <w:numPr>
          <w:ilvl w:val="0"/>
          <w:numId w:val="10"/>
        </w:numPr>
      </w:pPr>
      <w:r>
        <w:rPr>
          <w:b/>
        </w:rPr>
        <w:t xml:space="preserve">Check alignment.</w:t>
      </w:r>
      <w:r>
        <w:t xml:space="preserve"> Phase-correlate each optical scene against the site's reference composite; skip and log scenes shifted by more than 0.5 px.</w:t>
      </w:r>
    </w:p>
    <w:p>
      <w:pPr>
        <w:pStyle w:val="ListParagraph"/>
        <w:numPr>
          <w:ilvl w:val="0"/>
          <w:numId w:val="10"/>
        </w:numPr>
      </w:pPr>
      <w:r>
        <w:rPr>
          <w:b/>
        </w:rPr>
        <w:t xml:space="preserve">Compute indicators and score</w:t>
      </w:r>
      <w:r>
        <w:t xml:space="preserve"> (next sections), writing results to DuckDB.</w:t>
      </w:r>
    </w:p>
    <w:p>
      <w:pPr>
        <w:pStyle w:val="ListParagraph"/>
        <w:numPr>
          <w:ilvl w:val="0"/>
          <w:numId w:val="10"/>
        </w:numPr>
      </w:pPr>
      <w:r>
        <w:rPr>
          <w:b/>
        </w:rPr>
        <w:t xml:space="preserve">Cut activity images</w:t>
      </w:r>
      <w:r>
        <w:t xml:space="preserve"> for every flagged zone (see Events and activity images).</w:t>
      </w:r>
    </w:p>
    <w:p>
      <w:pPr/>
      <w:r>
        <w:t xml:space="preserve">Run sites in a pool of 4 worker processes and throttle Sentinel Hub calls to stay under its rate limits.</w:t>
      </w:r>
    </w:p>
    <w:p>
      <w:pPr>
        <w:pStyle w:val="Heading2"/>
      </w:pPr>
      <w:r>
        <w:rPr>
          <w:color w:val="000000"/>
        </w:rPr>
        <w:t>Activity indicators</w:t>
      </w:r>
    </w:p>
    <w:p>
      <w:pPr/>
      <w:r>
        <w:t xml:space="preserve">Each indicator is one number per zone per week, computed identically every week so it can be compared with its own history. Thresholds below are starting values that Phase 9 tunes, and all of them live in </w:t>
      </w:r>
      <w:r>
        <w:rPr>
          <w:rStyle w:val="CodeChar"/>
        </w:rPr>
        <w:t xml:space="preserve">settings.yaml</w:t>
      </w:r>
      <w:r>
        <w:t xml:space="preserv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Indicator</w:t>
            </w:r>
          </w:p>
        </w:tc>
        <w:tc>
          <w:tcPr>
            <w:tcW w:w="1872" w:type="dxa"/>
            <w:shd w:val="clear" w:color="auto" w:fill="F2F2F2"/>
          </w:tcPr>
          <w:p>
            <w:pPr/>
            <w:r>
              <w:t xml:space="preserve">Sensor</w:t>
            </w:r>
          </w:p>
        </w:tc>
        <w:tc>
          <w:tcPr>
            <w:tcW w:w="1872" w:type="dxa"/>
            <w:shd w:val="clear" w:color="auto" w:fill="F2F2F2"/>
          </w:tcPr>
          <w:p>
            <w:pPr/>
            <w:r>
              <w:t xml:space="preserve">Zones</w:t>
            </w:r>
          </w:p>
        </w:tc>
        <w:tc>
          <w:tcPr>
            <w:tcW w:w="1872" w:type="dxa"/>
            <w:shd w:val="clear" w:color="auto" w:fill="F2F2F2"/>
          </w:tcPr>
          <w:p>
            <w:pPr/>
            <w:r>
              <w:t xml:space="preserve">Method</w:t>
            </w:r>
          </w:p>
        </w:tc>
        <w:tc>
          <w:tcPr>
            <w:tcW w:w="1872" w:type="dxa"/>
            <w:shd w:val="clear" w:color="auto" w:fill="F2F2F2"/>
          </w:tcPr>
          <w:p>
            <w:pPr/>
            <w:r>
              <w:t xml:space="preserve">Reads as</w:t>
            </w:r>
          </w:p>
        </w:tc>
      </w:tr>
      <w:tr>
        <w:tc>
          <w:tcPr>
            <w:tcW w:w="1872" w:type="dxa"/>
          </w:tcPr>
          <w:p>
            <w:pPr/>
            <w:r>
              <w:t xml:space="preserve">Bright-target count</w:t>
            </w:r>
          </w:p>
        </w:tc>
        <w:tc>
          <w:tcPr>
            <w:tcW w:w="1872" w:type="dxa"/>
          </w:tcPr>
          <w:p>
            <w:pPr/>
            <w:r>
              <w:t xml:space="preserve">S1 co- and cross-pol</w:t>
            </w:r>
          </w:p>
        </w:tc>
        <w:tc>
          <w:tcPr>
            <w:tcW w:w="1872" w:type="dxa"/>
          </w:tcPr>
          <w:p>
            <w:pPr/>
            <w:r>
              <w:t xml:space="preserve">apron, vehicle_park, rail_siding</w:t>
            </w:r>
          </w:p>
        </w:tc>
        <w:tc>
          <w:tcPr>
            <w:tcW w:w="1872" w:type="dxa"/>
          </w:tcPr>
          <w:p>
            <w:pPr/>
            <w:r>
              <w:t xml:space="preserve">CFAR on γ0 dB: pixel above local mean + 3σ in a 21×21 px background window with a 5×5 px guard; keep components of 2 px or more; report count and total area</w:t>
            </w:r>
          </w:p>
        </w:tc>
        <w:tc>
          <w:tcPr>
            <w:tcW w:w="1872" w:type="dxa"/>
          </w:tcPr>
          <w:p>
            <w:pPr/>
            <w:r>
              <w:t xml:space="preserve">Metal objects present: aircraft, vehicles, rolling stock</w:t>
            </w:r>
          </w:p>
        </w:tc>
      </w:tr>
      <w:tr>
        <w:tc>
          <w:tcPr>
            <w:tcW w:w="1872" w:type="dxa"/>
          </w:tcPr>
          <w:p>
            <w:pPr/>
            <w:r>
              <w:t xml:space="preserve">Ship occupancy</w:t>
            </w:r>
          </w:p>
        </w:tc>
        <w:tc>
          <w:tcPr>
            <w:tcW w:w="1872" w:type="dxa"/>
          </w:tcPr>
          <w:p>
            <w:pPr/>
            <w:r>
              <w:t xml:space="preserve">S1</w:t>
            </w:r>
          </w:p>
        </w:tc>
        <w:tc>
          <w:tcPr>
            <w:tcW w:w="1872" w:type="dxa"/>
          </w:tcPr>
          <w:p>
            <w:pPr/>
            <w:r>
              <w:t xml:space="preserve">pier, anchorage</w:t>
            </w:r>
          </w:p>
        </w:tc>
        <w:tc>
          <w:tcPr>
            <w:tcW w:w="1872" w:type="dxa"/>
          </w:tcPr>
          <w:p>
            <w:pPr/>
            <w:r>
              <w:t xml:space="preserve">Same CFAR on water-masked pixels; components of 4 px or more; count per berth</w:t>
            </w:r>
          </w:p>
        </w:tc>
        <w:tc>
          <w:tcPr>
            <w:tcW w:w="1872" w:type="dxa"/>
          </w:tcPr>
          <w:p>
            <w:pPr/>
            <w:r>
              <w:t xml:space="preserve">Ships alongside vs sortied</w:t>
            </w:r>
          </w:p>
        </w:tc>
      </w:tr>
      <w:tr>
        <w:tc>
          <w:tcPr>
            <w:tcW w:w="1872" w:type="dxa"/>
          </w:tcPr>
          <w:p>
            <w:pPr/>
            <w:r>
              <w:t xml:space="preserve">Backscatter change</w:t>
            </w:r>
          </w:p>
        </w:tc>
        <w:tc>
          <w:tcPr>
            <w:tcW w:w="1872" w:type="dxa"/>
          </w:tcPr>
          <w:p>
            <w:pPr/>
            <w:r>
              <w:t xml:space="preserve">S1</w:t>
            </w:r>
          </w:p>
        </w:tc>
        <w:tc>
          <w:tcPr>
            <w:tcW w:w="1872" w:type="dxa"/>
          </w:tcPr>
          <w:p>
            <w:pPr/>
            <w:r>
              <w:t xml:space="preserve">all</w:t>
            </w:r>
          </w:p>
        </w:tc>
        <w:tc>
          <w:tcPr>
            <w:tcW w:w="1872" w:type="dxa"/>
          </w:tcPr>
          <w:p>
            <w:pPr/>
            <w:r>
              <w:t xml:space="preserve">Log-ratio of this week vs the median of the previous 6 same-geometry looks; share of pixels changed by more than 3 dB</w:t>
            </w:r>
          </w:p>
        </w:tc>
        <w:tc>
          <w:tcPr>
            <w:tcW w:w="1872" w:type="dxa"/>
          </w:tcPr>
          <w:p>
            <w:pPr/>
            <w:r>
              <w:t xml:space="preserve">Arrivals, departures, construction</w:t>
            </w:r>
          </w:p>
        </w:tc>
      </w:tr>
      <w:tr>
        <w:tc>
          <w:tcPr>
            <w:tcW w:w="1872" w:type="dxa"/>
          </w:tcPr>
          <w:p>
            <w:pPr/>
            <w:r>
              <w:t xml:space="preserve">Apron blob anomaly</w:t>
            </w:r>
          </w:p>
        </w:tc>
        <w:tc>
          <w:tcPr>
            <w:tcW w:w="1872" w:type="dxa"/>
          </w:tcPr>
          <w:p>
            <w:pPr/>
            <w:r>
              <w:t xml:space="preserve">S2 B02–B04, B08</w:t>
            </w:r>
          </w:p>
        </w:tc>
        <w:tc>
          <w:tcPr>
            <w:tcW w:w="1872" w:type="dxa"/>
          </w:tcPr>
          <w:p>
            <w:pPr/>
            <w:r>
              <w:t xml:space="preserve">apron</w:t>
            </w:r>
          </w:p>
        </w:tc>
        <w:tc>
          <w:tcPr>
            <w:tcW w:w="1872" w:type="dxa"/>
          </w:tcPr>
          <w:p>
            <w:pPr/>
            <w:r>
              <w:t xml:space="preserve">Difference from a clear-sky median of the last 8 clear looks; components of 6 px or more departing by over 3 MAD</w:t>
            </w:r>
          </w:p>
        </w:tc>
        <w:tc>
          <w:tcPr>
            <w:tcW w:w="1872" w:type="dxa"/>
          </w:tcPr>
          <w:p>
            <w:pPr/>
            <w:r>
              <w:t xml:space="preserve">Large airframes added or removed</w:t>
            </w:r>
          </w:p>
        </w:tc>
      </w:tr>
      <w:tr>
        <w:tc>
          <w:tcPr>
            <w:tcW w:w="1872" w:type="dxa"/>
          </w:tcPr>
          <w:p>
            <w:pPr/>
            <w:r>
              <w:t xml:space="preserve">Ground disturbance</w:t>
            </w:r>
          </w:p>
        </w:tc>
        <w:tc>
          <w:tcPr>
            <w:tcW w:w="1872" w:type="dxa"/>
          </w:tcPr>
          <w:p>
            <w:pPr/>
            <w:r>
              <w:t xml:space="preserve">S2</w:t>
            </w:r>
          </w:p>
        </w:tc>
        <w:tc>
          <w:tcPr>
            <w:tcW w:w="1872" w:type="dxa"/>
          </w:tcPr>
          <w:p>
            <w:pPr/>
            <w:r>
              <w:t xml:space="preserve">field</w:t>
            </w:r>
          </w:p>
        </w:tc>
        <w:tc>
          <w:tcPr>
            <w:tcW w:w="1872" w:type="dxa"/>
          </w:tcPr>
          <w:p>
            <w:pPr/>
            <w:r>
              <w:t xml:space="preserve">NDVI drop below −0.15 with a rise in bare-soil index vs same-season baseline; area in ha</w:t>
            </w:r>
          </w:p>
        </w:tc>
        <w:tc>
          <w:tcPr>
            <w:tcW w:w="1872" w:type="dxa"/>
          </w:tcPr>
          <w:p>
            <w:pPr/>
            <w:r>
              <w:t xml:space="preserve">Tracks, earthworks, digging</w:t>
            </w:r>
          </w:p>
        </w:tc>
      </w:tr>
      <w:tr>
        <w:tc>
          <w:tcPr>
            <w:tcW w:w="1872" w:type="dxa"/>
          </w:tcPr>
          <w:p>
            <w:pPr/>
            <w:r>
              <w:t xml:space="preserve">Snow tracks</w:t>
            </w:r>
          </w:p>
        </w:tc>
        <w:tc>
          <w:tcPr>
            <w:tcW w:w="1872" w:type="dxa"/>
          </w:tcPr>
          <w:p>
            <w:pPr/>
            <w:r>
              <w:t xml:space="preserve">S2 (winter)</w:t>
            </w:r>
          </w:p>
        </w:tc>
        <w:tc>
          <w:tcPr>
            <w:tcW w:w="1872" w:type="dxa"/>
          </w:tcPr>
          <w:p>
            <w:pPr/>
            <w:r>
              <w:t xml:space="preserve">field, vehicle_park</w:t>
            </w:r>
          </w:p>
        </w:tc>
        <w:tc>
          <w:tcPr>
            <w:tcW w:w="1872" w:type="dxa"/>
          </w:tcPr>
          <w:p>
            <w:pPr/>
            <w:r>
              <w:t xml:space="preserve">Drop in NDSI within snow-covered zones vs the previous clear look</w:t>
            </w:r>
          </w:p>
        </w:tc>
        <w:tc>
          <w:tcPr>
            <w:tcW w:w="1872" w:type="dxa"/>
          </w:tcPr>
          <w:p>
            <w:pPr/>
            <w:r>
              <w:t xml:space="preserve">Vehicle movement in snow</w:t>
            </w:r>
          </w:p>
        </w:tc>
      </w:tr>
      <w:tr>
        <w:tc>
          <w:tcPr>
            <w:tcW w:w="1872" w:type="dxa"/>
          </w:tcPr>
          <w:p>
            <w:pPr/>
            <w:r>
              <w:t xml:space="preserve">Fire or burn</w:t>
            </w:r>
          </w:p>
        </w:tc>
        <w:tc>
          <w:tcPr>
            <w:tcW w:w="1872" w:type="dxa"/>
          </w:tcPr>
          <w:p>
            <w:pPr/>
            <w:r>
              <w:t xml:space="preserve">S2 B08, B11, B12</w:t>
            </w:r>
          </w:p>
        </w:tc>
        <w:tc>
          <w:tcPr>
            <w:tcW w:w="1872" w:type="dxa"/>
          </w:tcPr>
          <w:p>
            <w:pPr/>
            <w:r>
              <w:t xml:space="preserve">storage, all</w:t>
            </w:r>
          </w:p>
        </w:tc>
        <w:tc>
          <w:tcPr>
            <w:tcW w:w="1872" w:type="dxa"/>
          </w:tcPr>
          <w:p>
            <w:pPr/>
            <w:r>
              <w:t xml:space="preserve">NBR drop above 0.2, or B12 hotspot relative to B11 and B08</w:t>
            </w:r>
          </w:p>
        </w:tc>
        <w:tc>
          <w:tcPr>
            <w:tcW w:w="1872" w:type="dxa"/>
          </w:tcPr>
          <w:p>
            <w:pPr/>
            <w:r>
              <w:t xml:space="preserve">Fire, explosion, burn scar</w:t>
            </w:r>
          </w:p>
        </w:tc>
      </w:tr>
      <w:tr>
        <w:tc>
          <w:tcPr>
            <w:tcW w:w="1872" w:type="dxa"/>
          </w:tcPr>
          <w:p>
            <w:pPr/>
            <w:r>
              <w:t xml:space="preserve">Persistent change</w:t>
            </w:r>
          </w:p>
        </w:tc>
        <w:tc>
          <w:tcPr>
            <w:tcW w:w="1872" w:type="dxa"/>
          </w:tcPr>
          <w:p>
            <w:pPr/>
            <w:r>
              <w:t xml:space="preserve">S1 + S2</w:t>
            </w:r>
          </w:p>
        </w:tc>
        <w:tc>
          <w:tcPr>
            <w:tcW w:w="1872" w:type="dxa"/>
          </w:tcPr>
          <w:p>
            <w:pPr/>
            <w:r>
              <w:t xml:space="preserve">all</w:t>
            </w:r>
          </w:p>
        </w:tc>
        <w:tc>
          <w:tcPr>
            <w:tcW w:w="1872" w:type="dxa"/>
          </w:tcPr>
          <w:p>
            <w:pPr/>
            <w:r>
              <w:t xml:space="preserve">Change flagged in 2 or more consecutive weeks</w:t>
            </w:r>
          </w:p>
        </w:tc>
        <w:tc>
          <w:tcPr>
            <w:tcW w:w="1872" w:type="dxa"/>
          </w:tcPr>
          <w:p>
            <w:pPr/>
            <w:r>
              <w:t xml:space="preserve">New construction, re-layout</w:t>
            </w:r>
          </w:p>
        </w:tc>
      </w:tr>
    </w:tbl>
    <w:p>
      <w:pPr/>
      <w:r>
        <w:t xml:space="preserve">Primary indicators by site type: airbase → apron bright targets and blob anomaly; naval base and port → ship occupancy; garrison and training area → vehicle-park bright targets and ground disturbance; depot → fire or burn and backscatter change; missile and radar sites → backscatter change and ground disturbance. Site types and their primary indicators live in </w:t>
      </w:r>
      <w:r>
        <w:rPr>
          <w:rStyle w:val="CodeChar"/>
        </w:rPr>
        <w:t xml:space="preserve">settings.yaml</w:t>
      </w:r>
      <w:r>
        <w:t xml:space="preserve">, so adding a type needs no code change.</w:t>
      </w:r>
    </w:p>
    <w:p>
      <w:pPr/>
      <w:r>
        <w:t xml:space="preserve">Decreases matter as much as increases: an emptied apron or pier is a signal. Store </w:t>
      </w:r>
      <w:r>
        <w:rPr>
          <w:rStyle w:val="CodeChar"/>
        </w:rPr>
        <w:t xml:space="preserve">n_valid_pixels</w:t>
      </w:r>
      <w:r>
        <w:t xml:space="preserve"> and </w:t>
      </w:r>
      <w:r>
        <w:rPr>
          <w:rStyle w:val="CodeChar"/>
        </w:rPr>
        <w:t xml:space="preserve">n_observations</w:t>
      </w:r>
      <w:r>
        <w:t xml:space="preserve"> with every value so the scorer can down-weight thin data.</w:t>
      </w:r>
    </w:p>
    <w:p>
      <w:pPr>
        <w:pStyle w:val="Heading2"/>
      </w:pPr>
      <w:r>
        <w:rPr>
          <w:color w:val="000000"/>
        </w:rPr>
        <w:t>Classification  events and activity images</w:t>
      </w:r>
    </w:p>
    <w:p>
      <w:pPr/>
      <w:r>
        <w:t xml:space="preserve">Each site-week gets a level, a direction, a confidence and its drivers. Any Elevated or High site-week also becomes an activity event with a small image of what changed, and nothing reaches the website until it passes the publish policy.</w:t>
      </w:r>
    </w:p>
    <w:p>
      <w:pPr/>
      <w:r>
        <w:t xml:space="preserve">Scoring:</w:t>
      </w:r>
    </w:p>
    <w:p>
      <w:pPr>
        <w:pStyle w:val="ListParagraph"/>
        <w:numPr>
          <w:ilvl w:val="0"/>
          <w:numId w:val="11"/>
        </w:numPr>
      </w:pPr>
      <w:r>
        <w:rPr>
          <w:b/>
        </w:rPr>
        <w:t xml:space="preserve">Baseline.</w:t>
      </w:r>
      <w:r>
        <w:t xml:space="preserve"> For each zone × indicator × sensor geometry, take the previous 12 weeks plus the same ±3 weeks of the previous year; store median and MAD. With fewer than 6 baseline observations the indicator is "warming up" and does not score.</w:t>
      </w:r>
    </w:p>
    <w:p>
      <w:pPr>
        <w:pStyle w:val="ListParagraph"/>
        <w:numPr>
          <w:ilvl w:val="0"/>
          <w:numId w:val="11"/>
        </w:numPr>
      </w:pPr>
      <w:r>
        <w:rPr>
          <w:b/>
        </w:rPr>
        <w:t xml:space="preserve">Anomaly.</w:t>
      </w:r>
      <w:r>
        <w:t xml:space="preserve"> Robust z = (value − median) / (1.4826 × MAD), with MAD floored at a per-indicator minimum so near-constant zones do not explode.</w:t>
      </w:r>
    </w:p>
    <w:p>
      <w:pPr>
        <w:pStyle w:val="ListParagraph"/>
        <w:numPr>
          <w:ilvl w:val="0"/>
          <w:numId w:val="11"/>
        </w:numPr>
      </w:pPr>
      <w:r>
        <w:rPr>
          <w:b/>
        </w:rPr>
        <w:t xml:space="preserve">Level and direction.</w:t>
      </w:r>
      <w:r>
        <w:t xml:space="preserve"> Apply the rules below to the primary indicators for the site type; direction is </w:t>
      </w:r>
      <w:r>
        <w:rPr>
          <w:rStyle w:val="CodeChar"/>
        </w:rPr>
        <w:t xml:space="preserve">increase</w:t>
      </w:r>
      <w:r>
        <w:t xml:space="preserve"> or </w:t>
      </w:r>
      <w:r>
        <w:rPr>
          <w:rStyle w:val="CodeChar"/>
        </w:rPr>
        <w:t xml:space="preserve">decrease</w:t>
      </w:r>
      <w:r>
        <w:t xml:space="preserve"> from the sign of the strongest driver.</w:t>
      </w:r>
    </w:p>
    <w:p>
      <w:pPr>
        <w:pStyle w:val="ListParagraph"/>
        <w:numPr>
          <w:ilvl w:val="0"/>
          <w:numId w:val="11"/>
        </w:numPr>
      </w:pPr>
      <w:r>
        <w:rPr>
          <w:b/>
        </w:rPr>
        <w:t xml:space="preserve">Confidence.</w:t>
      </w:r>
      <w:r>
        <w:t xml:space="preserve"> High: 2 or more valid looks and both sensors agree. Medium: one sensor with 2 or more looks. Low: one look, or under 80 % valid pixels.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Rule (starting values)</w:t>
            </w:r>
          </w:p>
        </w:tc>
      </w:tr>
      <w:tr>
        <w:tc>
          <w:tcPr>
            <w:tcW w:w="4680" w:type="dxa"/>
          </w:tcPr>
          <w:p>
            <w:pPr/>
            <w:r>
              <w:t xml:space="preserve">No data</w:t>
            </w:r>
          </w:p>
        </w:tc>
        <w:tc>
          <w:tcPr>
            <w:tcW w:w="4680" w:type="dxa"/>
          </w:tcPr>
          <w:p>
            <w:pPr/>
            <w:r>
              <w:t xml:space="preserve">No valid Sentinel-1 or Sentinel-2 look this week</w:t>
            </w:r>
          </w:p>
        </w:tc>
      </w:tr>
      <w:tr>
        <w:tc>
          <w:tcPr>
            <w:tcW w:w="4680" w:type="dxa"/>
          </w:tcPr>
          <w:p>
            <w:pPr/>
            <w:r>
              <w:t xml:space="preserve">Normal</w:t>
            </w:r>
          </w:p>
        </w:tc>
        <w:tc>
          <w:tcPr>
            <w:tcW w:w="4680" w:type="dxa"/>
          </w:tcPr>
          <w:p>
            <w:pPr/>
            <w:r>
              <w:t xml:space="preserve">No primary indicator with absolute z of 2 or more</w:t>
            </w:r>
          </w:p>
        </w:tc>
      </w:tr>
      <w:tr>
        <w:tc>
          <w:tcPr>
            <w:tcW w:w="4680" w:type="dxa"/>
          </w:tcPr>
          <w:p>
            <w:pPr/>
            <w:r>
              <w:t xml:space="preserve">Elevated</w:t>
            </w:r>
          </w:p>
        </w:tc>
        <w:tc>
          <w:tcPr>
            <w:tcW w:w="4680" w:type="dxa"/>
          </w:tcPr>
          <w:p>
            <w:pPr/>
            <w:r>
              <w:t xml:space="preserve">One primary indicator at absolute z ≥ 2, or two indicators at ≥ 1.5 in the same zone</w:t>
            </w:r>
          </w:p>
        </w:tc>
      </w:tr>
      <w:tr>
        <w:tc>
          <w:tcPr>
            <w:tcW w:w="4680" w:type="dxa"/>
          </w:tcPr>
          <w:p>
            <w:pPr/>
            <w:r>
              <w:t xml:space="preserve">High</w:t>
            </w:r>
          </w:p>
        </w:tc>
        <w:tc>
          <w:tcPr>
            <w:tcW w:w="4680" w:type="dxa"/>
          </w:tcPr>
          <w:p>
            <w:pPr/>
            <w:r>
              <w:t xml:space="preserve">Absolute z ≥ 3 on a primary indicator, confirmed by a second indicator or the other sensor</w:t>
            </w:r>
          </w:p>
        </w:tc>
      </w:tr>
    </w:tbl>
    <w:p>
      <w:pPr/>
      <w:r>
        <w:t xml:space="preserve">Events and images:</w:t>
      </w:r>
    </w:p>
    <w:p>
      <w:pPr>
        <w:pStyle w:val="ListParagraph"/>
        <w:numPr>
          <w:ilvl w:val="0"/>
          <w:numId w:val="12"/>
        </w:numPr>
      </w:pPr>
      <w:r>
        <w:rPr>
          <w:b/>
        </w:rPr>
        <w:t xml:space="preserve">Event.</w:t>
      </w:r>
      <w:r>
        <w:t xml:space="preserve"> Consecutive flagged weeks at the same site and zone merge into one event with </w:t>
      </w:r>
      <w:r>
        <w:rPr>
          <w:rStyle w:val="CodeChar"/>
        </w:rPr>
        <w:t xml:space="preserve">event_id</w:t>
      </w:r>
      <w:r>
        <w:t xml:space="preserve">, start and end week, activity tags, drivers, level and confidence. Events are what site pages and activity tag pages list.</w:t>
      </w:r>
    </w:p>
    <w:p>
      <w:pPr>
        <w:pStyle w:val="ListParagraph"/>
        <w:numPr>
          <w:ilvl w:val="0"/>
          <w:numId w:val="12"/>
        </w:numPr>
      </w:pPr>
      <w:r>
        <w:rPr>
          <w:b/>
        </w:rPr>
        <w:t xml:space="preserve">Activity image.</w:t>
      </w:r>
      <w:r>
        <w:t xml:space="preserve"> Crop the driving zone plus a 30 % margin on the site grid and render a small before/after pair. Radar is always available: this week's backscatter beside the baseline median, plus a change composite (baseline in one colour channel, this week in the others) so new targets show in colour. When a clear optical look exists, add true colour this week vs the baseline composite.</w:t>
      </w:r>
    </w:p>
    <w:p>
      <w:pPr>
        <w:pStyle w:val="ListParagraph"/>
        <w:numPr>
          <w:ilvl w:val="0"/>
          <w:numId w:val="12"/>
        </w:numPr>
      </w:pPr>
      <w:r>
        <w:rPr>
          <w:b/>
        </w:rPr>
        <w:t xml:space="preserve">Image format.</w:t>
      </w:r>
      <w:r>
        <w:t xml:space="preserve"> Upscale with nearest neighbour to 256 × 256 px (320 px maximum), outline detected blobs or changed areas, burn in date, sensor and the Copernicus attribution, and save as WebP at roughly 20–40 KB.</w:t>
      </w:r>
    </w:p>
    <w:p>
      <w:pPr>
        <w:pStyle w:val="ListParagraph"/>
        <w:numPr>
          <w:ilvl w:val="0"/>
          <w:numId w:val="12"/>
        </w:numPr>
      </w:pPr>
      <w:r>
        <w:rPr>
          <w:b/>
        </w:rPr>
        <w:t xml:space="preserve">Review.</w:t>
      </w:r>
      <w:r>
        <w:t xml:space="preserve"> </w:t>
      </w:r>
      <w:r>
        <w:rPr>
          <w:rStyle w:val="CodeChar"/>
        </w:rPr>
        <w:t xml:space="preserve">basewatch review</w:t>
      </w:r>
      <w:r>
        <w:t xml:space="preserve"> opens the local review app on </w:t>
      </w:r>
      <w:r>
        <w:rPr>
          <w:rStyle w:val="CodeChar"/>
        </w:rPr>
        <w:t xml:space="preserve">127.0.0.1</w:t>
      </w:r>
      <w:r>
        <w:t xml:space="preserve"> listing pending events with images and drivers. The reviewer marks each </w:t>
      </w:r>
      <w:r>
        <w:rPr>
          <w:rStyle w:val="CodeChar"/>
        </w:rPr>
        <w:t xml:space="preserve">confirmed</w:t>
      </w:r>
      <w:r>
        <w:t xml:space="preserve">, </w:t>
      </w:r>
      <w:r>
        <w:rPr>
          <w:rStyle w:val="CodeChar"/>
        </w:rPr>
        <w:t xml:space="preserve">false-positive</w:t>
      </w:r>
      <w:r>
        <w:t xml:space="preserve"> or </w:t>
      </w:r>
      <w:r>
        <w:rPr>
          <w:rStyle w:val="CodeChar"/>
        </w:rPr>
        <w:t xml:space="preserve">unclear</w:t>
      </w:r>
      <w:r>
        <w:t xml:space="preserve">, can adjust tags, and can add a one-line public note.</w:t>
      </w:r>
    </w:p>
    <w:p>
      <w:pPr>
        <w:pStyle w:val="ListParagraph"/>
        <w:numPr>
          <w:ilvl w:val="0"/>
          <w:numId w:val="12"/>
        </w:numPr>
      </w:pPr>
      <w:r>
        <w:rPr>
          <w:b/>
        </w:rPr>
        <w:t xml:space="preserve">Publish policy.</w:t>
      </w:r>
      <w:r>
        <w:t xml:space="preserve"> Set in </w:t>
      </w:r>
      <w:r>
        <w:rPr>
          <w:rStyle w:val="CodeChar"/>
        </w:rPr>
        <w:t xml:space="preserve">settings.yaml</w:t>
      </w:r>
      <w:r>
        <w:t xml:space="preserve">: </w:t>
      </w:r>
      <w:r>
        <w:rPr>
          <w:rStyle w:val="CodeChar"/>
        </w:rPr>
        <w:t xml:space="preserve">reviewed_only</w:t>
      </w:r>
      <w:r>
        <w:t xml:space="preserve"> (default) publishes confirmed events only; </w:t>
      </w:r>
      <w:r>
        <w:rPr>
          <w:rStyle w:val="CodeChar"/>
        </w:rPr>
        <w:t xml:space="preserve">all_flagged</w:t>
      </w:r>
      <w:r>
        <w:t xml:space="preserve"> also publishes unreviewed events, clearly marked. Weekly levels and charts publish either way.</w:t>
      </w:r>
    </w:p>
    <w:p>
      <w:pPr>
        <w:pStyle w:val="ListParagraph"/>
        <w:numPr>
          <w:ilvl w:val="0"/>
          <w:numId w:val="12"/>
        </w:numPr>
      </w:pPr>
      <w:r>
        <w:rPr>
          <w:b/>
        </w:rPr>
        <w:t xml:space="preserve">Later.</w:t>
      </w:r>
      <w:r>
        <w:t xml:space="preserve"> Add an Isolation Forest second opinion, and a supervised classifier once about 200 labelled events exist. Neither replaces the explainable rule output.</w:t>
      </w:r>
    </w:p>
    <w:p>
      <w:pPr>
        <w:pStyle w:val="Heading2"/>
      </w:pPr>
      <w:r>
        <w:rPr>
          <w:color w:val="000000"/>
        </w:rPr>
        <w:t>Running locally and publishing</w:t>
      </w:r>
    </w:p>
    <w:p>
      <w:pPr/>
      <w:r>
        <w:t xml:space="preserve">A local scheduler starts processing weekly, and publishing is a separate, deliberate step, so nothing goes public until it has passed review and the pre-push checks. No GitHub Actions are needed.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Command</w:t>
            </w:r>
          </w:p>
        </w:tc>
        <w:tc>
          <w:tcPr>
            <w:tcW w:w="4680" w:type="dxa"/>
            <w:shd w:val="clear" w:color="auto" w:fill="F2F2F2"/>
          </w:tcPr>
          <w:p>
            <w:pPr/>
            <w:r>
              <w:t xml:space="preserve">What it does</w:t>
            </w:r>
          </w:p>
        </w:tc>
      </w:tr>
      <w:tr>
        <w:tc>
          <w:tcPr>
            <w:tcW w:w="4680" w:type="dxa"/>
          </w:tcPr>
          <w:p>
            <w:pPr/>
            <w:r>
              <w:rPr>
                <w:rStyle w:val="CodeChar"/>
              </w:rPr>
              <w:t xml:space="preserve">basewatch run</w:t>
            </w:r>
          </w:p>
        </w:tc>
        <w:tc>
          <w:tcPr>
            <w:tcW w:w="4680" w:type="dxa"/>
          </w:tcPr>
          <w:p>
            <w:pPr/>
            <w:r>
              <w:t xml:space="preserve">Catch-up processing for all sites: indicators, scores, events, images, written to DuckDB</w:t>
            </w:r>
          </w:p>
        </w:tc>
      </w:tr>
      <w:tr>
        <w:tc>
          <w:tcPr>
            <w:tcW w:w="4680" w:type="dxa"/>
          </w:tcPr>
          <w:p>
            <w:pPr/>
            <w:r>
              <w:rPr>
                <w:rStyle w:val="CodeChar"/>
              </w:rPr>
              <w:t xml:space="preserve">basewatch review</w:t>
            </w:r>
          </w:p>
        </w:tc>
        <w:tc>
          <w:tcPr>
            <w:tcW w:w="4680" w:type="dxa"/>
          </w:tcPr>
          <w:p>
            <w:pPr/>
            <w:r>
              <w:t xml:space="preserve">Opens the local review app for pending events</w:t>
            </w:r>
          </w:p>
        </w:tc>
      </w:tr>
      <w:tr>
        <w:tc>
          <w:tcPr>
            <w:tcW w:w="4680" w:type="dxa"/>
          </w:tcPr>
          <w:p>
            <w:pPr/>
            <w:r>
              <w:rPr>
                <w:rStyle w:val="CodeChar"/>
              </w:rPr>
              <w:t xml:space="preserve">basewatch publish</w:t>
            </w:r>
          </w:p>
        </w:tc>
        <w:tc>
          <w:tcPr>
            <w:tcW w:w="4680" w:type="dxa"/>
          </w:tcPr>
          <w:p>
            <w:pPr/>
            <w:r>
              <w:t xml:space="preserve">Exports content, builds the site with Hugo, runs checks, pushes to the site repo</w:t>
            </w:r>
          </w:p>
        </w:tc>
      </w:tr>
      <w:tr>
        <w:tc>
          <w:tcPr>
            <w:tcW w:w="4680" w:type="dxa"/>
          </w:tcPr>
          <w:p>
            <w:pPr/>
            <w:r>
              <w:rPr>
                <w:rStyle w:val="CodeChar"/>
              </w:rPr>
              <w:t xml:space="preserve">basewatch backfill --from 2024-W01</w:t>
            </w:r>
          </w:p>
        </w:tc>
        <w:tc>
          <w:tcPr>
            <w:tcW w:w="4680" w:type="dxa"/>
          </w:tcPr>
          <w:p>
            <w:pPr/>
            <w:r>
              <w:t xml:space="preserve">Processes historic weeks; resumable</w:t>
            </w:r>
          </w:p>
        </w:tc>
      </w:tr>
      <w:tr>
        <w:tc>
          <w:tcPr>
            <w:tcW w:w="4680" w:type="dxa"/>
          </w:tcPr>
          <w:p>
            <w:pPr/>
            <w:r>
              <w:rPr>
                <w:rStyle w:val="CodeChar"/>
              </w:rPr>
              <w:t xml:space="preserve">basewatch catalogue check</w:t>
            </w:r>
          </w:p>
        </w:tc>
        <w:tc>
          <w:tcPr>
            <w:tcW w:w="4680" w:type="dxa"/>
          </w:tcPr>
          <w:p>
            <w:pPr/>
            <w:r>
              <w:t xml:space="preserve">Validates the catalogue offline</w:t>
            </w:r>
          </w:p>
        </w:tc>
      </w:tr>
    </w:tbl>
    <w:p>
      <w:pPr/>
      <w:r>
        <w:t xml:space="preserve">Scheduling:</w:t>
      </w:r>
    </w:p>
    <w:p>
      <w:pPr>
        <w:pStyle w:val="ListParagraph"/>
        <w:numPr>
          <w:ilvl w:val="0"/>
          <w:numId w:val="13"/>
        </w:numPr>
      </w:pPr>
      <w:r>
        <w:t xml:space="preserve">Linux: systemd timer with </w:t>
      </w:r>
      <w:r>
        <w:rPr>
          <w:rStyle w:val="CodeChar"/>
        </w:rPr>
        <w:t xml:space="preserve">Persistent=true</w:t>
      </w:r>
      <w:r>
        <w:t xml:space="preserve"> so a run missed while the machine was off happens at next boot. macOS: a launchd agent. Windows: Task Scheduler with "run as soon as possible after a missed start" enabled.</w:t>
      </w:r>
    </w:p>
    <w:p>
      <w:pPr>
        <w:pStyle w:val="ListParagraph"/>
        <w:numPr>
          <w:ilvl w:val="0"/>
          <w:numId w:val="13"/>
        </w:numPr>
      </w:pPr>
      <w:r>
        <w:t xml:space="preserve">Default: Monday 06:00 local time. When the run ends, a desktop notification or email says how many events wait for review.</w:t>
      </w:r>
    </w:p>
    <w:p>
      <w:pPr>
        <w:pStyle w:val="ListParagraph"/>
        <w:numPr>
          <w:ilvl w:val="0"/>
          <w:numId w:val="13"/>
        </w:numPr>
      </w:pPr>
      <w:r>
        <w:t xml:space="preserve">A lock file prevents overlapping runs. A failing site is recorded as a </w:t>
      </w:r>
      <w:r>
        <w:rPr>
          <w:rStyle w:val="CodeChar"/>
        </w:rPr>
        <w:t xml:space="preserve">provider_error</w:t>
      </w:r>
      <w:r>
        <w:t xml:space="preserve"> gap and the run continues.</w:t>
      </w:r>
    </w:p>
    <w:p>
      <w:pPr>
        <w:pStyle w:val="ListParagraph"/>
        <w:numPr>
          <w:ilvl w:val="0"/>
          <w:numId w:val="13"/>
        </w:numPr>
      </w:pPr>
      <w:r>
        <w:t xml:space="preserve">Retries with exponential backoff (3 attempts) on STAC, COG reads and Sentinel Hub 429 or 5xx responses.</w:t>
      </w:r>
    </w:p>
    <w:p>
      <w:pPr>
        <w:pStyle w:val="ListParagraph"/>
        <w:numPr>
          <w:ilvl w:val="0"/>
          <w:numId w:val="13"/>
        </w:numPr>
      </w:pPr>
      <w:r>
        <w:t xml:space="preserve">Budget guard: processing units and requests are logged in DuckDB; optional radar requests stop above 80 % of the monthly free quota.</w:t>
      </w:r>
    </w:p>
    <w:p>
      <w:pPr/>
      <w:r>
        <w:t xml:space="preserve">Publishing:</w:t>
      </w:r>
    </w:p>
    <w:p>
      <w:pPr>
        <w:pStyle w:val="ListParagraph"/>
        <w:numPr>
          <w:ilvl w:val="0"/>
          <w:numId w:val="14"/>
        </w:numPr>
      </w:pPr>
      <w:r>
        <w:rPr>
          <w:b/>
        </w:rPr>
        <w:t xml:space="preserve">Export</w:t>
      </w:r>
      <w:r>
        <w:t xml:space="preserve"> Hugo content files (one page per site, unit, equipment type and event) plus JSON data; copy only images of publishable events.</w:t>
      </w:r>
    </w:p>
    <w:p>
      <w:pPr>
        <w:pStyle w:val="ListParagraph"/>
        <w:numPr>
          <w:ilvl w:val="0"/>
          <w:numId w:val="14"/>
        </w:numPr>
      </w:pPr>
      <w:r>
        <w:rPr>
          <w:b/>
        </w:rPr>
        <w:t xml:space="preserve">Build</w:t>
      </w:r>
      <w:r>
        <w:t xml:space="preserve"> with </w:t>
      </w:r>
      <w:r>
        <w:rPr>
          <w:rStyle w:val="CodeChar"/>
        </w:rPr>
        <w:t xml:space="preserve">hugo --minify</w:t>
      </w:r>
      <w:r>
        <w:t xml:space="preserve"> into </w:t>
      </w:r>
      <w:r>
        <w:rPr>
          <w:rStyle w:val="CodeChar"/>
        </w:rPr>
        <w:t xml:space="preserve">~/basewatch-data/build</w:t>
      </w:r>
      <w:r>
        <w:t xml:space="preserve">, then generate the Pagefind search index.</w:t>
      </w:r>
    </w:p>
    <w:p>
      <w:pPr>
        <w:pStyle w:val="ListParagraph"/>
        <w:numPr>
          <w:ilvl w:val="0"/>
          <w:numId w:val="14"/>
        </w:numPr>
      </w:pPr>
      <w:r>
        <w:rPr>
          <w:b/>
        </w:rPr>
        <w:t xml:space="preserve">Check</w:t>
      </w:r>
      <w:r>
        <w:t xml:space="preserve"> internal links, JSON Schemas and the size budget, and fail if any file is outside the allow-list (HTML, CSS, JS, JSON, WebP, SVG, fonts) or over 1 MB.</w:t>
      </w:r>
    </w:p>
    <w:p>
      <w:pPr>
        <w:pStyle w:val="ListParagraph"/>
        <w:numPr>
          <w:ilvl w:val="0"/>
          <w:numId w:val="14"/>
        </w:numPr>
      </w:pPr>
      <w:r>
        <w:rPr>
          <w:b/>
        </w:rPr>
        <w:t xml:space="preserve">Push</w:t>
      </w:r>
      <w:r>
        <w:t xml:space="preserve"> the build to </w:t>
      </w:r>
      <w:r>
        <w:rPr>
          <w:rStyle w:val="CodeChar"/>
        </w:rPr>
        <w:t xml:space="preserve">basewatch-site</w:t>
      </w:r>
      <w:r>
        <w:t xml:space="preserve"> as a single fresh commit on an orphan </w:t>
      </w:r>
      <w:r>
        <w:rPr>
          <w:rStyle w:val="CodeChar"/>
        </w:rPr>
        <w:t xml:space="preserve">gh-pages</w:t>
      </w:r>
      <w:r>
        <w:t xml:space="preserve"> branch (force-push), so the repo never accumulates old images; GitHub Pages serves that branch, with a </w:t>
      </w:r>
      <w:r>
        <w:rPr>
          <w:rStyle w:val="CodeChar"/>
        </w:rPr>
        <w:t xml:space="preserve">.nojekyll</w:t>
      </w:r>
      <w:r>
        <w:t xml:space="preserve"> file.</w:t>
      </w:r>
    </w:p>
    <w:p>
      <w:pPr>
        <w:pStyle w:val="ListParagraph"/>
        <w:numPr>
          <w:ilvl w:val="0"/>
          <w:numId w:val="14"/>
        </w:numPr>
      </w:pPr>
      <w:r>
        <w:rPr>
          <w:b/>
        </w:rPr>
        <w:t xml:space="preserve">Auth</w:t>
      </w:r>
      <w:r>
        <w:t xml:space="preserve"> with an SSH deploy key that can write to </w:t>
      </w:r>
      <w:r>
        <w:rPr>
          <w:rStyle w:val="CodeChar"/>
        </w:rPr>
        <w:t xml:space="preserve">basewatch-site</w:t>
      </w:r>
      <w:r>
        <w:t xml:space="preserve"> only, or a fine-grained token scoped to that repo.</w:t>
      </w:r>
    </w:p>
    <w:p>
      <w:pPr>
        <w:pStyle w:val="Heading2"/>
      </w:pPr>
      <w:r>
        <w:rPr>
          <w:color w:val="000000"/>
        </w:rPr>
        <w:t>Running on Google Colab  optional</w:t>
      </w:r>
    </w:p>
    <w:p>
      <w:pPr/>
      <w:r>
        <w:t xml:space="preserve">Colab works as a second runtime, with one real limit. Since 22 September 2026, paid Google AI plans include premium Colab benefits: a monthly allotment of compute units and priority access to faster machines. Uninterrupted background execution is only in Google AI Ultra (</w:t>
      </w:r>
      <w:hyperlink r:id="rId22" w:history="1">
        <w:r>
          <w:rPr>
            <w:rStyle w:val="Hyperlink"/>
          </w:rPr>
          <w:t xml:space="preserve">Google</w:t>
        </w:r>
      </w:hyperlink>
      <w:r>
        <w:t xml:space="preserve">, </w:t>
      </w:r>
      <w:hyperlink r:id="rId23" w:history="1">
        <w:r>
          <w:rPr>
            <w:rStyle w:val="Hyperlink"/>
          </w:rPr>
          <w:t xml:space="preserve">Colab FAQ</w:t>
        </w:r>
      </w:hyperlink>
      <w:r>
        <w:t xml:space="preserve">). On AI Pro a run needs an open browser tab, idle runtimes time out, and notebooks generally run at most 12 hours. Colab therefore suits heavy, attended jobs, and the local machine stays the default for the unattended weekly schedule.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w:t>
            </w:r>
          </w:p>
        </w:tc>
        <w:tc>
          <w:tcPr>
            <w:tcW w:w="3120" w:type="dxa"/>
            <w:shd w:val="clear" w:color="auto" w:fill="F2F2F2"/>
          </w:tcPr>
          <w:p>
            <w:pPr/>
            <w:r>
              <w:t xml:space="preserve">Runtime</w:t>
            </w:r>
          </w:p>
        </w:tc>
        <w:tc>
          <w:tcPr>
            <w:tcW w:w="3120" w:type="dxa"/>
            <w:shd w:val="clear" w:color="auto" w:fill="F2F2F2"/>
          </w:tcPr>
          <w:p>
            <w:pPr/>
            <w:r>
              <w:t xml:space="preserve">Why</w:t>
            </w:r>
          </w:p>
        </w:tc>
      </w:tr>
      <w:tr>
        <w:tc>
          <w:tcPr>
            <w:tcW w:w="3120" w:type="dxa"/>
          </w:tcPr>
          <w:p>
            <w:pPr/>
            <w:r>
              <w:t xml:space="preserve">Backfill and baseline rebuilds (Phase 4)</w:t>
            </w:r>
          </w:p>
        </w:tc>
        <w:tc>
          <w:tcPr>
            <w:tcW w:w="3120" w:type="dxa"/>
          </w:tcPr>
          <w:p>
            <w:pPr/>
            <w:r>
              <w:t xml:space="preserve">Colab</w:t>
            </w:r>
          </w:p>
        </w:tc>
        <w:tc>
          <w:tcPr>
            <w:tcW w:w="3120" w:type="dxa"/>
          </w:tcPr>
          <w:p>
            <w:pPr/>
            <w:r>
              <w:t xml:space="preserve">One-off, hours of downloads and CPU; checkpointed, so a disconnect loses minutes</w:t>
            </w:r>
          </w:p>
        </w:tc>
      </w:tr>
      <w:tr>
        <w:tc>
          <w:tcPr>
            <w:tcW w:w="3120" w:type="dxa"/>
          </w:tcPr>
          <w:p>
            <w:pPr/>
            <w:r>
              <w:t xml:space="preserve">Weekly run</w:t>
            </w:r>
          </w:p>
        </w:tc>
        <w:tc>
          <w:tcPr>
            <w:tcW w:w="3120" w:type="dxa"/>
          </w:tcPr>
          <w:p>
            <w:pPr/>
            <w:r>
              <w:t xml:space="preserve">Local by default, or Colab started by hand</w:t>
            </w:r>
          </w:p>
        </w:tc>
        <w:tc>
          <w:tcPr>
            <w:tcW w:w="3120" w:type="dxa"/>
          </w:tcPr>
          <w:p>
            <w:pPr/>
            <w:r>
              <w:t xml:space="preserve">AI Pro has no background execution, so a Colab run starts only when you open the notebook</w:t>
            </w:r>
          </w:p>
        </w:tc>
      </w:tr>
      <w:tr>
        <w:tc>
          <w:tcPr>
            <w:tcW w:w="3120" w:type="dxa"/>
          </w:tcPr>
          <w:p>
            <w:pPr/>
            <w:r>
              <w:t xml:space="preserve">Review and publish</w:t>
            </w:r>
          </w:p>
        </w:tc>
        <w:tc>
          <w:tcPr>
            <w:tcW w:w="3120" w:type="dxa"/>
          </w:tcPr>
          <w:p>
            <w:pPr/>
            <w:r>
              <w:t xml:space="preserve">Local, or in the notebook</w:t>
            </w:r>
          </w:p>
        </w:tc>
        <w:tc>
          <w:tcPr>
            <w:tcW w:w="3120" w:type="dxa"/>
          </w:tcPr>
          <w:p>
            <w:pPr/>
            <w:r>
              <w:t xml:space="preserve">The review web app is simplest locally; Colab gets an in-notebook review cell</w:t>
            </w:r>
          </w:p>
        </w:tc>
      </w:tr>
      <w:tr>
        <w:tc>
          <w:tcPr>
            <w:tcW w:w="3120" w:type="dxa"/>
          </w:tcPr>
          <w:p>
            <w:pPr/>
            <w:r>
              <w:t xml:space="preserve">Phase 10 ML training</w:t>
            </w:r>
          </w:p>
        </w:tc>
        <w:tc>
          <w:tcPr>
            <w:tcW w:w="3120" w:type="dxa"/>
          </w:tcPr>
          <w:p>
            <w:pPr/>
            <w:r>
              <w:t xml:space="preserve">Colab GPU</w:t>
            </w:r>
          </w:p>
        </w:tc>
        <w:tc>
          <w:tcPr>
            <w:tcW w:w="3120" w:type="dxa"/>
          </w:tcPr>
          <w:p>
            <w:pPr/>
            <w:r>
              <w:t xml:space="preserve">The only step that benefits from accelerators</w:t>
            </w:r>
          </w:p>
        </w:tc>
      </w:tr>
    </w:tbl>
    <w:p>
      <w:pPr/>
      <w:r>
        <w:t xml:space="preserve">How it works:</w:t>
      </w:r>
    </w:p>
    <w:p>
      <w:pPr>
        <w:pStyle w:val="ListParagraph"/>
        <w:numPr>
          <w:ilvl w:val="0"/>
          <w:numId w:val="15"/>
        </w:numPr>
      </w:pPr>
      <w:r>
        <w:rPr>
          <w:b/>
        </w:rPr>
        <w:t xml:space="preserve">Runtime profile.</w:t>
      </w:r>
      <w:r>
        <w:t xml:space="preserve"> </w:t>
      </w:r>
      <w:r>
        <w:rPr>
          <w:rStyle w:val="CodeChar"/>
        </w:rPr>
        <w:t xml:space="preserve">settings.yaml</w:t>
      </w:r>
      <w:r>
        <w:t xml:space="preserve"> gets </w:t>
      </w:r>
      <w:r>
        <w:rPr>
          <w:rStyle w:val="CodeChar"/>
        </w:rPr>
        <w:t xml:space="preserve">runtime: local | colab</w:t>
      </w:r>
      <w:r>
        <w:t xml:space="preserve">, and every path derives from </w:t>
      </w:r>
      <w:r>
        <w:rPr>
          <w:rStyle w:val="CodeChar"/>
        </w:rPr>
        <w:t xml:space="preserve">BASEWATCH_HOME</w:t>
      </w:r>
      <w:r>
        <w:t xml:space="preserve">, so the package code is identical in both places.</w:t>
      </w:r>
    </w:p>
    <w:p>
      <w:pPr>
        <w:pStyle w:val="ListParagraph"/>
        <w:numPr>
          <w:ilvl w:val="0"/>
          <w:numId w:val="15"/>
        </w:numPr>
      </w:pPr>
      <w:r>
        <w:rPr>
          <w:b/>
        </w:rPr>
        <w:t xml:space="preserve">Launcher notebook.</w:t>
      </w:r>
      <w:r>
        <w:t xml:space="preserve"> </w:t>
      </w:r>
      <w:r>
        <w:rPr>
          <w:rStyle w:val="CodeChar"/>
        </w:rPr>
        <w:t xml:space="preserve">notebooks/colab_run.ipynb</w:t>
      </w:r>
      <w:r>
        <w:t xml:space="preserve"> has five thin cells: mount Drive; </w:t>
      </w:r>
      <w:r>
        <w:rPr>
          <w:rStyle w:val="CodeChar"/>
        </w:rPr>
        <w:t xml:space="preserve">pip install</w:t>
      </w:r>
      <w:r>
        <w:t xml:space="preserve"> the pinned </w:t>
      </w:r>
      <w:r>
        <w:rPr>
          <w:rStyle w:val="CodeChar"/>
        </w:rPr>
        <w:t xml:space="preserve">basewatch</w:t>
      </w:r>
      <w:r>
        <w:t xml:space="preserve"> release from the code repo; load secrets; restore state; call </w:t>
      </w:r>
      <w:r>
        <w:rPr>
          <w:rStyle w:val="CodeChar"/>
        </w:rPr>
        <w:t xml:space="preserve">basewatch run</w:t>
      </w:r>
      <w:r>
        <w:t xml:space="preserve"> or </w:t>
      </w:r>
      <w:r>
        <w:rPr>
          <w:rStyle w:val="CodeChar"/>
        </w:rPr>
        <w:t xml:space="preserve">backfill</w:t>
      </w:r>
      <w:r>
        <w:t xml:space="preserve">. No analysis code lives in the notebook.</w:t>
      </w:r>
    </w:p>
    <w:p>
      <w:pPr>
        <w:pStyle w:val="ListParagraph"/>
        <w:numPr>
          <w:ilvl w:val="0"/>
          <w:numId w:val="15"/>
        </w:numPr>
      </w:pPr>
      <w:r>
        <w:rPr>
          <w:b/>
        </w:rPr>
        <w:t xml:space="preserve">Secrets.</w:t>
      </w:r>
      <w:r>
        <w:t xml:space="preserve"> CDSE credentials and the site-repo deploy key live in Colab Secrets and are read with </w:t>
      </w:r>
      <w:r>
        <w:rPr>
          <w:rStyle w:val="CodeChar"/>
        </w:rPr>
        <w:t xml:space="preserve">google.colab.userdata</w:t>
      </w:r>
      <w:r>
        <w:t xml:space="preserve">; never printed, never saved in the notebook.</w:t>
      </w:r>
    </w:p>
    <w:p>
      <w:pPr>
        <w:pStyle w:val="ListParagraph"/>
        <w:numPr>
          <w:ilvl w:val="0"/>
          <w:numId w:val="15"/>
        </w:numPr>
      </w:pPr>
      <w:r>
        <w:rPr>
          <w:b/>
        </w:rPr>
        <w:t xml:space="preserve">Storage on Drive.</w:t>
      </w:r>
      <w:r>
        <w:t xml:space="preserve"> Google AI Pro includes 5 TB of storage since April 2026 (</w:t>
      </w:r>
      <w:hyperlink r:id="rId24" w:history="1">
        <w:r>
          <w:rPr>
            <w:rStyle w:val="Hyperlink"/>
          </w:rPr>
          <w:t xml:space="preserve">TechRadar</w:t>
        </w:r>
      </w:hyperlink>
      <w:r>
        <w:t xml:space="preserve">), enough to keep the whole chip archive instead of 12 months. Keep the workspace in </w:t>
      </w:r>
      <w:r>
        <w:rPr>
          <w:rStyle w:val="CodeChar"/>
        </w:rPr>
        <w:t xml:space="preserve">MyDrive/basewatch-data/</w:t>
      </w:r>
      <w:r>
        <w:t xml:space="preserve">, but pack chips into one archive per site and month: Drive mounts slow down or fail with many small files, and folders should stay under about 10,000 items.</w:t>
      </w:r>
    </w:p>
    <w:p>
      <w:pPr>
        <w:pStyle w:val="ListParagraph"/>
        <w:numPr>
          <w:ilvl w:val="0"/>
          <w:numId w:val="15"/>
        </w:numPr>
      </w:pPr>
      <w:r>
        <w:rPr>
          <w:b/>
        </w:rPr>
        <w:t xml:space="preserve">Work on the VM disk.</w:t>
      </w:r>
      <w:r>
        <w:t xml:space="preserve"> At start, copy the DuckDB file and the needed archives from Drive to </w:t>
      </w:r>
      <w:r>
        <w:rPr>
          <w:rStyle w:val="CodeChar"/>
        </w:rPr>
        <w:t xml:space="preserve">/content/work</w:t>
      </w:r>
      <w:r>
        <w:t xml:space="preserve">; never open DuckDB directly on the Drive mount. Write results back to a temporary name and then rename, so an interrupted copy never corrupts the stored database.</w:t>
      </w:r>
    </w:p>
    <w:p>
      <w:pPr>
        <w:pStyle w:val="ListParagraph"/>
        <w:numPr>
          <w:ilvl w:val="0"/>
          <w:numId w:val="15"/>
        </w:numPr>
      </w:pPr>
      <w:r>
        <w:rPr>
          <w:b/>
        </w:rPr>
        <w:t xml:space="preserve">Checkpoint.</w:t>
      </w:r>
      <w:r>
        <w:t xml:space="preserve"> Commit after every site-week and sync the database to Drive every 10 minutes. Runs already catch up on unfinished weeks, so rerunning the notebook after a disconnect resumes where it stopped.</w:t>
      </w:r>
    </w:p>
    <w:p>
      <w:pPr>
        <w:pStyle w:val="ListParagraph"/>
        <w:numPr>
          <w:ilvl w:val="0"/>
          <w:numId w:val="15"/>
        </w:numPr>
      </w:pPr>
      <w:r>
        <w:rPr>
          <w:b/>
        </w:rPr>
        <w:t xml:space="preserve">One writer at a time.</w:t>
      </w:r>
      <w:r>
        <w:t xml:space="preserve"> A </w:t>
      </w:r>
      <w:r>
        <w:rPr>
          <w:rStyle w:val="CodeChar"/>
        </w:rPr>
        <w:t xml:space="preserve">RUNNING.lock</w:t>
      </w:r>
      <w:r>
        <w:t xml:space="preserve"> file on Drive (host and start time) stops the local machine and Colab from writing at once. If your computer syncs the same folder through Google Drive for desktop, its scheduled run skips while the lock exists.</w:t>
      </w:r>
    </w:p>
    <w:p>
      <w:pPr>
        <w:pStyle w:val="ListParagraph"/>
        <w:numPr>
          <w:ilvl w:val="0"/>
          <w:numId w:val="15"/>
        </w:numPr>
      </w:pPr>
      <w:r>
        <w:rPr>
          <w:b/>
        </w:rPr>
        <w:t xml:space="preserve">Compute.</w:t>
      </w:r>
      <w:r>
        <w:t xml:space="preserve"> Use a CPU runtime with high memory and switch to GPU only for ML. Log compute units used per run next to Sentinel Hub usage.</w:t>
      </w:r>
    </w:p>
    <w:p>
      <w:pPr>
        <w:pStyle w:val="ListParagraph"/>
        <w:numPr>
          <w:ilvl w:val="0"/>
          <w:numId w:val="15"/>
        </w:numPr>
      </w:pPr>
      <w:r>
        <w:rPr>
          <w:b/>
        </w:rPr>
        <w:t xml:space="preserve">Review and publish.</w:t>
      </w:r>
      <w:r>
        <w:t xml:space="preserve"> By default Colab only processes; review and publish run locally against the synced database. Optionally, an ipywidgets review cell and </w:t>
      </w:r>
      <w:r>
        <w:rPr>
          <w:rStyle w:val="CodeChar"/>
        </w:rPr>
        <w:t xml:space="preserve">basewatch publish</w:t>
      </w:r>
      <w:r>
        <w:t xml:space="preserve"> run from the notebook with the deploy key, behind the same review gate.</w:t>
      </w:r>
    </w:p>
    <w:p>
      <w:pPr/>
      <w:r>
        <w:t xml:space="preserve">Notes:</w:t>
      </w:r>
    </w:p>
    <w:p>
      <w:pPr>
        <w:pStyle w:val="ListParagraph"/>
        <w:numPr>
          <w:ilvl w:val="0"/>
          <w:numId w:val="16"/>
        </w:numPr>
      </w:pPr>
      <w:r>
        <w:t xml:space="preserve">Confirm the benefit is active under Settings &gt; Subscription in Colab. It is rolling out gradually in Colab-supported countries and is not included in free trials.</w:t>
      </w:r>
    </w:p>
    <w:p>
      <w:pPr>
        <w:pStyle w:val="ListParagraph"/>
        <w:numPr>
          <w:ilvl w:val="0"/>
          <w:numId w:val="16"/>
        </w:numPr>
      </w:pPr>
      <w:r>
        <w:t xml:space="preserve">Keep project data out of Colab's AI chat, because Google may have human reviewers read prompts and outputs.</w:t>
      </w:r>
    </w:p>
    <w:p>
      <w:pPr>
        <w:pStyle w:val="ListParagraph"/>
        <w:numPr>
          <w:ilvl w:val="0"/>
          <w:numId w:val="16"/>
        </w:numPr>
      </w:pPr>
      <w:r>
        <w:t xml:space="preserve">Unattended cloud runs would need Google AI Ultra's background execution or a paid Google Cloud option such as Colab Enterprise; this plan needs neither.</w:t>
      </w:r>
    </w:p>
    <w:p>
      <w:pPr>
        <w:pStyle w:val="Heading2"/>
      </w:pPr>
      <w:r>
        <w:rPr>
          <w:color w:val="000000"/>
        </w:rPr>
        <w:t>Website on GitHub Pages</w:t>
      </w:r>
    </w:p>
    <w:p>
      <w:pPr/>
      <w:r>
        <w:t xml:space="preserve">The site is static HTML built by Hugo: one permanent page per site, unit, equipment type, event and tag term, all cross-linked. Units and equipment are Hugo taxonomies whose term pages carry metadata, so each unit page automatically lists every site and event linked to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URL</w:t>
            </w:r>
          </w:p>
        </w:tc>
        <w:tc>
          <w:tcPr>
            <w:tcW w:w="3120" w:type="dxa"/>
            <w:shd w:val="clear" w:color="auto" w:fill="F2F2F2"/>
          </w:tcPr>
          <w:p>
            <w:pPr/>
            <w:r>
              <w:t xml:space="preserve">Contents</w:t>
            </w:r>
          </w:p>
        </w:tc>
      </w:tr>
      <w:tr>
        <w:tc>
          <w:tcPr>
            <w:tcW w:w="3120" w:type="dxa"/>
          </w:tcPr>
          <w:p>
            <w:pPr/>
            <w:r>
              <w:t xml:space="preserve">Overview</w:t>
            </w:r>
          </w:p>
        </w:tc>
        <w:tc>
          <w:tcPr>
            <w:tcW w:w="3120" w:type="dxa"/>
          </w:tcPr>
          <w:p>
            <w:pPr/>
            <w:r>
              <w:rPr>
                <w:rStyle w:val="CodeChar"/>
              </w:rPr>
              <w:t xml:space="preserve">/</w:t>
            </w:r>
          </w:p>
        </w:tc>
        <w:tc>
          <w:tcPr>
            <w:tcW w:w="3120" w:type="dxa"/>
          </w:tcPr>
          <w:p>
            <w:pPr/>
            <w:r>
              <w:t xml:space="preserve">Map of all sites coloured by latest level, facet filters, latest events</w:t>
            </w:r>
          </w:p>
        </w:tc>
      </w:tr>
      <w:tr>
        <w:tc>
          <w:tcPr>
            <w:tcW w:w="3120" w:type="dxa"/>
          </w:tcPr>
          <w:p>
            <w:pPr/>
            <w:r>
              <w:t xml:space="preserve">Site</w:t>
            </w:r>
          </w:p>
        </w:tc>
        <w:tc>
          <w:tcPr>
            <w:tcW w:w="3120" w:type="dxa"/>
          </w:tcPr>
          <w:p>
            <w:pPr/>
            <w:r>
              <w:rPr>
                <w:rStyle w:val="CodeChar"/>
              </w:rPr>
              <w:t xml:space="preserve">/sites/&lt;site-id&gt;/</w:t>
            </w:r>
          </w:p>
        </w:tc>
        <w:tc>
          <w:tcPr>
            <w:tcW w:w="3120" w:type="dxa"/>
          </w:tcPr>
          <w:p>
            <w:pPr/>
            <w:r>
              <w:t xml:space="preserve">See the anatomy below</w:t>
            </w:r>
          </w:p>
        </w:tc>
      </w:tr>
      <w:tr>
        <w:tc>
          <w:tcPr>
            <w:tcW w:w="3120" w:type="dxa"/>
          </w:tcPr>
          <w:p>
            <w:pPr/>
            <w:r>
              <w:t xml:space="preserve">Unit</w:t>
            </w:r>
          </w:p>
        </w:tc>
        <w:tc>
          <w:tcPr>
            <w:tcW w:w="3120" w:type="dxa"/>
          </w:tcPr>
          <w:p>
            <w:pPr/>
            <w:r>
              <w:rPr>
                <w:rStyle w:val="CodeChar"/>
              </w:rPr>
              <w:t xml:space="preserve">/units/&lt;unit-id&gt;/</w:t>
            </w:r>
          </w:p>
        </w:tc>
        <w:tc>
          <w:tcPr>
            <w:tcW w:w="3120" w:type="dxa"/>
          </w:tcPr>
          <w:p>
            <w:pPr/>
            <w:r>
              <w:t xml:space="preserve">Designation, branch, echelon, parent, current and past garrisons with dates, equipment, sources</w:t>
            </w:r>
          </w:p>
        </w:tc>
      </w:tr>
      <w:tr>
        <w:tc>
          <w:tcPr>
            <w:tcW w:w="3120" w:type="dxa"/>
          </w:tcPr>
          <w:p>
            <w:pPr/>
            <w:r>
              <w:t xml:space="preserve">Equipment</w:t>
            </w:r>
          </w:p>
        </w:tc>
        <w:tc>
          <w:tcPr>
            <w:tcW w:w="3120" w:type="dxa"/>
          </w:tcPr>
          <w:p>
            <w:pPr/>
            <w:r>
              <w:rPr>
                <w:rStyle w:val="CodeChar"/>
              </w:rPr>
              <w:t xml:space="preserve">/equipment/&lt;equipment-id&gt;/</w:t>
            </w:r>
          </w:p>
        </w:tc>
        <w:tc>
          <w:tcPr>
            <w:tcW w:w="3120" w:type="dxa"/>
          </w:tcPr>
          <w:p>
            <w:pPr/>
            <w:r>
              <w:t xml:space="preserve">Category, origin, units operating it, sites where those units are based, references</w:t>
            </w:r>
          </w:p>
        </w:tc>
      </w:tr>
      <w:tr>
        <w:tc>
          <w:tcPr>
            <w:tcW w:w="3120" w:type="dxa"/>
          </w:tcPr>
          <w:p>
            <w:pPr/>
            <w:r>
              <w:t xml:space="preserve">Tag term</w:t>
            </w:r>
          </w:p>
        </w:tc>
        <w:tc>
          <w:tcPr>
            <w:tcW w:w="3120" w:type="dxa"/>
          </w:tcPr>
          <w:p>
            <w:pPr/>
            <w:r>
              <w:rPr>
                <w:rStyle w:val="CodeChar"/>
              </w:rPr>
              <w:t xml:space="preserve">/&lt;facet&gt;/&lt;term&gt;/</w:t>
            </w:r>
          </w:p>
        </w:tc>
        <w:tc>
          <w:tcPr>
            <w:tcW w:w="3120" w:type="dxa"/>
          </w:tcPr>
          <w:p>
            <w:pPr/>
            <w:r>
              <w:t xml:space="preserve">Every site or event carrying the term; activity terms list events newest first</w:t>
            </w:r>
          </w:p>
        </w:tc>
      </w:tr>
      <w:tr>
        <w:tc>
          <w:tcPr>
            <w:tcW w:w="3120" w:type="dxa"/>
          </w:tcPr>
          <w:p>
            <w:pPr/>
            <w:r>
              <w:t xml:space="preserve">Country</w:t>
            </w:r>
          </w:p>
        </w:tc>
        <w:tc>
          <w:tcPr>
            <w:tcW w:w="3120" w:type="dxa"/>
          </w:tcPr>
          <w:p>
            <w:pPr/>
            <w:r>
              <w:rPr>
                <w:rStyle w:val="CodeChar"/>
              </w:rPr>
              <w:t xml:space="preserve">/country/&lt;ISO3&gt;/</w:t>
            </w:r>
          </w:p>
        </w:tc>
        <w:tc>
          <w:tcPr>
            <w:tcW w:w="3120" w:type="dxa"/>
          </w:tcPr>
          <w:p>
            <w:pPr/>
            <w:r>
              <w:t xml:space="preserve">Map and table of that country's sites, with unit and equipment counts</w:t>
            </w:r>
          </w:p>
        </w:tc>
      </w:tr>
      <w:tr>
        <w:tc>
          <w:tcPr>
            <w:tcW w:w="3120" w:type="dxa"/>
          </w:tcPr>
          <w:p>
            <w:pPr/>
            <w:r>
              <w:t xml:space="preserve">Event</w:t>
            </w:r>
          </w:p>
        </w:tc>
        <w:tc>
          <w:tcPr>
            <w:tcW w:w="3120" w:type="dxa"/>
          </w:tcPr>
          <w:p>
            <w:pPr/>
            <w:r>
              <w:rPr>
                <w:rStyle w:val="CodeChar"/>
              </w:rPr>
              <w:t xml:space="preserve">/events/&lt;event-id&gt;/</w:t>
            </w:r>
          </w:p>
        </w:tc>
        <w:tc>
          <w:tcPr>
            <w:tcW w:w="3120" w:type="dxa"/>
          </w:tcPr>
          <w:p>
            <w:pPr/>
            <w:r>
              <w:t xml:space="preserve">Activity image pair, drivers, tags, review status and note</w:t>
            </w:r>
          </w:p>
        </w:tc>
      </w:tr>
      <w:tr>
        <w:tc>
          <w:tcPr>
            <w:tcW w:w="3120" w:type="dxa"/>
          </w:tcPr>
          <w:p>
            <w:pPr/>
            <w:r>
              <w:t xml:space="preserve">Weekly digest</w:t>
            </w:r>
          </w:p>
        </w:tc>
        <w:tc>
          <w:tcPr>
            <w:tcW w:w="3120" w:type="dxa"/>
          </w:tcPr>
          <w:p>
            <w:pPr/>
            <w:r>
              <w:rPr>
                <w:rStyle w:val="CodeChar"/>
              </w:rPr>
              <w:t xml:space="preserve">/weeks/&lt;YYYY-Www&gt;/</w:t>
            </w:r>
          </w:p>
        </w:tc>
        <w:tc>
          <w:tcPr>
            <w:tcW w:w="3120" w:type="dxa"/>
          </w:tcPr>
          <w:p>
            <w:pPr/>
            <w:r>
              <w:t xml:space="preserve">Every published event that week, plus an Atom feed</w:t>
            </w:r>
          </w:p>
        </w:tc>
      </w:tr>
      <w:tr>
        <w:tc>
          <w:tcPr>
            <w:tcW w:w="3120" w:type="dxa"/>
          </w:tcPr>
          <w:p>
            <w:pPr/>
            <w:r>
              <w:t xml:space="preserve">Methods</w:t>
            </w:r>
          </w:p>
        </w:tc>
        <w:tc>
          <w:tcPr>
            <w:tcW w:w="3120" w:type="dxa"/>
          </w:tcPr>
          <w:p>
            <w:pPr/>
            <w:r>
              <w:rPr>
                <w:rStyle w:val="CodeChar"/>
              </w:rPr>
              <w:t xml:space="preserve">/methods/</w:t>
            </w:r>
          </w:p>
        </w:tc>
        <w:tc>
          <w:tcPr>
            <w:tcW w:w="3120" w:type="dxa"/>
          </w:tcPr>
          <w:p>
            <w:pPr/>
            <w:r>
              <w:t xml:space="preserve">Sources, indicators, thresholds, limits, changelog, attribution</w:t>
            </w:r>
          </w:p>
        </w:tc>
      </w:tr>
    </w:tbl>
    <w:p>
      <w:pPr/>
      <w:r>
        <w:t xml:space="preserve">Site page, top to bottom:</w:t>
      </w:r>
    </w:p>
    <w:p>
      <w:pPr>
        <w:pStyle w:val="ListParagraph"/>
        <w:numPr>
          <w:ilvl w:val="0"/>
          <w:numId w:val="17"/>
        </w:numPr>
      </w:pPr>
      <w:r>
        <w:rPr>
          <w:b/>
        </w:rPr>
        <w:t xml:space="preserve">Header:</w:t>
      </w:r>
      <w:r>
        <w:t xml:space="preserve"> name and local name, country, site type, status, and the latest level badge with direction, confidence and week.</w:t>
      </w:r>
    </w:p>
    <w:p>
      <w:pPr>
        <w:pStyle w:val="ListParagraph"/>
        <w:numPr>
          <w:ilvl w:val="0"/>
          <w:numId w:val="17"/>
        </w:numPr>
      </w:pPr>
      <w:r>
        <w:rPr>
          <w:b/>
        </w:rPr>
        <w:t xml:space="preserve">Tags:</w:t>
      </w:r>
      <w:r>
        <w:t xml:space="preserve"> chips grouped by facet, each linking to its term page.</w:t>
      </w:r>
    </w:p>
    <w:p>
      <w:pPr>
        <w:pStyle w:val="ListParagraph"/>
        <w:numPr>
          <w:ilvl w:val="0"/>
          <w:numId w:val="17"/>
        </w:numPr>
      </w:pPr>
      <w:r>
        <w:rPr>
          <w:b/>
        </w:rPr>
        <w:t xml:space="preserve">Map:</w:t>
      </w:r>
      <w:r>
        <w:t xml:space="preserve"> AOI and zones over a basemap, with a link to the location on OpenStreetMap.</w:t>
      </w:r>
    </w:p>
    <w:p>
      <w:pPr>
        <w:pStyle w:val="ListParagraph"/>
        <w:numPr>
          <w:ilvl w:val="0"/>
          <w:numId w:val="17"/>
        </w:numPr>
      </w:pPr>
      <w:r>
        <w:rPr>
          <w:b/>
        </w:rPr>
        <w:t xml:space="preserve">Latest activity:</w:t>
      </w:r>
      <w:r>
        <w:t xml:space="preserve"> the newest published event's small image pair with date, tags and a one-sentence driver summary, or "No published activity in the last 12 weeks".</w:t>
      </w:r>
    </w:p>
    <w:p>
      <w:pPr>
        <w:pStyle w:val="ListParagraph"/>
        <w:numPr>
          <w:ilvl w:val="0"/>
          <w:numId w:val="17"/>
        </w:numPr>
      </w:pPr>
      <w:r>
        <w:rPr>
          <w:b/>
        </w:rPr>
        <w:t xml:space="preserve">Units stationed:</w:t>
      </w:r>
      <w:r>
        <w:t xml:space="preserve"> unit, branch, echelon, since, confidence and sources, each linking to its unit page; former units in a collapsed list.</w:t>
      </w:r>
    </w:p>
    <w:p>
      <w:pPr>
        <w:pStyle w:val="ListParagraph"/>
        <w:numPr>
          <w:ilvl w:val="0"/>
          <w:numId w:val="17"/>
        </w:numPr>
      </w:pPr>
      <w:r>
        <w:rPr>
          <w:b/>
        </w:rPr>
        <w:t xml:space="preserve">Equipment reported:</w:t>
      </w:r>
      <w:r>
        <w:t xml:space="preserve"> grouped by category, each linking to its equipment page and naming the unit it comes from.</w:t>
      </w:r>
    </w:p>
    <w:p>
      <w:pPr>
        <w:pStyle w:val="ListParagraph"/>
        <w:numPr>
          <w:ilvl w:val="0"/>
          <w:numId w:val="17"/>
        </w:numPr>
      </w:pPr>
      <w:r>
        <w:rPr>
          <w:b/>
        </w:rPr>
        <w:t xml:space="preserve">52-week chart:</w:t>
      </w:r>
      <w:r>
        <w:t xml:space="preserve"> level and key indicators, with data gaps shaded.</w:t>
      </w:r>
    </w:p>
    <w:p>
      <w:pPr>
        <w:pStyle w:val="ListParagraph"/>
        <w:numPr>
          <w:ilvl w:val="0"/>
          <w:numId w:val="17"/>
        </w:numPr>
      </w:pPr>
      <w:r>
        <w:rPr>
          <w:b/>
        </w:rPr>
        <w:t xml:space="preserve">Activity history:</w:t>
      </w:r>
      <w:r>
        <w:t xml:space="preserve"> every published event as a thumbnail, newest first, linking to its event page.</w:t>
      </w:r>
    </w:p>
    <w:p>
      <w:pPr>
        <w:pStyle w:val="ListParagraph"/>
        <w:numPr>
          <w:ilvl w:val="0"/>
          <w:numId w:val="17"/>
        </w:numPr>
      </w:pPr>
      <w:r>
        <w:rPr>
          <w:b/>
        </w:rPr>
        <w:t xml:space="preserve">References:</w:t>
      </w:r>
      <w:r>
        <w:t xml:space="preserve"> external links (Wikipedia, Wikidata, OpenStreetMap, other sources) with access dates.</w:t>
      </w:r>
    </w:p>
    <w:p>
      <w:pPr>
        <w:pStyle w:val="ListParagraph"/>
        <w:numPr>
          <w:ilvl w:val="0"/>
          <w:numId w:val="17"/>
        </w:numPr>
      </w:pPr>
      <w:r>
        <w:rPr>
          <w:b/>
        </w:rPr>
        <w:t xml:space="preserve">Data:</w:t>
      </w:r>
      <w:r>
        <w:t xml:space="preserve"> download the site's CSV and JSON.</w:t>
      </w:r>
    </w:p>
    <w:p>
      <w:pPr/>
      <w:r>
        <w:t xml:space="preserve">Data contract (JSON Schemas in </w:t>
      </w:r>
      <w:r>
        <w:rPr>
          <w:rStyle w:val="CodeChar"/>
        </w:rPr>
        <w:t xml:space="preserve">schemas/</w:t>
      </w:r>
      <w:r>
        <w:t xml:space="preserve">, validated before every push):</w:t>
      </w:r>
    </w:p>
    <w:p>
      <w:pPr>
        <w:pStyle w:val="ListParagraph"/>
        <w:numPr>
          <w:ilvl w:val="0"/>
          <w:numId w:val="18"/>
        </w:numPr>
      </w:pPr>
      <w:r>
        <w:rPr>
          <w:rStyle w:val="CodeChar"/>
        </w:rPr>
        <w:t xml:space="preserve">/data/sites.json</w:t>
      </w:r>
      <w:r>
        <w:t xml:space="preserve">: facet index for the overview filters (id, name, country, coordinates, tags, latest level).</w:t>
      </w:r>
    </w:p>
    <w:p>
      <w:pPr>
        <w:pStyle w:val="ListParagraph"/>
        <w:numPr>
          <w:ilvl w:val="0"/>
          <w:numId w:val="18"/>
        </w:numPr>
      </w:pPr>
      <w:r>
        <w:rPr>
          <w:rStyle w:val="CodeChar"/>
        </w:rPr>
        <w:t xml:space="preserve">/data/sites/&lt;id&gt;.json</w:t>
      </w:r>
      <w:r>
        <w:t xml:space="preserve">: site summary with zones as GeoJSON.</w:t>
      </w:r>
    </w:p>
    <w:p>
      <w:pPr>
        <w:pStyle w:val="ListParagraph"/>
        <w:numPr>
          <w:ilvl w:val="0"/>
          <w:numId w:val="18"/>
        </w:numPr>
      </w:pPr>
      <w:r>
        <w:rPr>
          <w:rStyle w:val="CodeChar"/>
        </w:rPr>
        <w:t xml:space="preserve">/data/sites/&lt;id&gt;/timeseries.csv</w:t>
      </w:r>
      <w:r>
        <w:t xml:space="preserve">: one row per week with indicators, z-scores, level and confidence.</w:t>
      </w:r>
    </w:p>
    <w:p>
      <w:pPr>
        <w:pStyle w:val="ListParagraph"/>
        <w:numPr>
          <w:ilvl w:val="0"/>
          <w:numId w:val="18"/>
        </w:numPr>
      </w:pPr>
      <w:r>
        <w:rPr>
          <w:rStyle w:val="CodeChar"/>
        </w:rPr>
        <w:t xml:space="preserve">/data/events/&lt;event-id&gt;.json</w:t>
      </w:r>
      <w:r>
        <w:t xml:space="preserve">: one record per event.</w:t>
      </w:r>
    </w:p>
    <w:p>
      <w:pPr/>
      <w:r>
        <w:t xml:space="preserve">Example event record (fictional values):</w:t>
      </w:r>
    </w:p>
    <w:p>
      <w:pPr>
        <w:pStyle w:val="Code"/>
      </w:pPr>
      <w:bookmarkStart w:id="1" w:name="bongo_lang_json_1"/>
      <w:bookmarkEnd w:id="1"/>
      <w:r>
        <w:t xml:space="preserve">{</w:t>
        <w:br/>
        <w:t xml:space="preserve">  "event_id": "xxx-example-airbase-2026-W41-apron_main",</w:t>
        <w:br/>
        <w:t xml:space="preserve">  "site_id": "xxx-example-airbase",</w:t>
        <w:br/>
        <w:t xml:space="preserve">  "zone": "apron_main",</w:t>
        <w:br/>
        <w:t xml:space="preserve">  "weeks": ["2026-W41"],</w:t>
        <w:br/>
        <w:t xml:space="preserve">  "level": "elevated",</w:t>
        <w:br/>
        <w:t xml:space="preserve">  "direction": "increase",</w:t>
        <w:br/>
        <w:t xml:space="preserve">  "confidence": "medium",</w:t>
        <w:br/>
        <w:t xml:space="preserve">  "tags": ["aircraft_increase"],</w:t>
        <w:br/>
        <w:t xml:space="preserve">  "drivers": [</w:t>
        <w:br/>
        <w:t xml:space="preserve">    {"indicator": "s1_bright_targets", "value": 42,</w:t>
        <w:br/>
        <w:t xml:space="preserve">     "baseline_median": 28, "z": 2.6}</w:t>
        <w:br/>
        <w:t xml:space="preserve">  ],</w:t>
        <w:br/>
        <w:t xml:space="preserve">  "review": {"status": "confirmed",</w:t>
        <w:br/>
        <w:t xml:space="preserve">             "note": "More large airframes on the main apron than usual."},</w:t>
        <w:br/>
        <w:t xml:space="preserve">  "images": {"radar": "/img/events/xxx-example-airbase-2026-W41-apron_main_s1.webp",</w:t>
        <w:br/>
        <w:t xml:space="preserve">             "optical": null},</w:t>
        <w:br/>
        <w:t xml:space="preserve">  "scenes": ["S1C_IW_GRDH_..."],</w:t>
        <w:br/>
        <w:t xml:space="preserve">  "algo_version": "0.3.0"</w:t>
        <w:br/>
        <w:t xml:space="preserve">}</w:t>
      </w:r>
    </w:p>
    <w:p>
      <w:pPr/>
      <w:r>
        <w:t xml:space="preserve">Front-end rules: mobile-first down to 375 px; a "last updated" banner that turns red after 9 days without a publish; the Copernicus attribution under every image; every page readable without JavaScript except the map, charts and search; optional Hugo multilingual mode for names and labels.</w:t>
      </w:r>
    </w:p>
    <w:p>
      <w:pPr>
        <w:pStyle w:val="Heading2"/>
      </w:pPr>
      <w:r>
        <w:rPr>
          <w:color w:val="000000"/>
        </w:rPr>
        <w:t>Storage budgets</w:t>
      </w:r>
    </w:p>
    <w:p>
      <w:pPr/>
      <w:r>
        <w:t xml:space="preserve">Imagery lives only on your disk; the published site holds pages, JSON and small event images, well inside GitHub Pages limits of 1 GB per published site, a 10-minute deployment timeout and a soft 100 GB monthly bandwidth (</w:t>
      </w:r>
      <w:hyperlink r:id="rId25" w:history="1">
        <w:r>
          <w:rPr>
            <w:rStyle w:val="Hyperlink"/>
          </w:rPr>
          <w:t xml:space="preserve">GitHub</w:t>
        </w:r>
      </w:hyperlink>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Where</w:t>
            </w:r>
          </w:p>
        </w:tc>
        <w:tc>
          <w:tcPr>
            <w:tcW w:w="2340" w:type="dxa"/>
            <w:shd w:val="clear" w:color="auto" w:fill="F2F2F2"/>
          </w:tcPr>
          <w:p>
            <w:pPr/>
            <w:r>
              <w:t xml:space="preserve">Size (approx., 100 sites)</w:t>
            </w:r>
          </w:p>
        </w:tc>
        <w:tc>
          <w:tcPr>
            <w:tcW w:w="2340" w:type="dxa"/>
            <w:shd w:val="clear" w:color="auto" w:fill="F2F2F2"/>
          </w:tcPr>
          <w:p>
            <w:pPr/>
            <w:r>
              <w:t xml:space="preserve">Retention</w:t>
            </w:r>
          </w:p>
        </w:tc>
      </w:tr>
      <w:tr>
        <w:tc>
          <w:tcPr>
            <w:tcW w:w="2340" w:type="dxa"/>
          </w:tcPr>
          <w:p>
            <w:pPr/>
            <w:r>
              <w:t xml:space="preserve">Radar chips (int16 dB, 2 polarisations, ~5 km AOI)</w:t>
            </w:r>
          </w:p>
        </w:tc>
        <w:tc>
          <w:tcPr>
            <w:tcW w:w="2340" w:type="dxa"/>
          </w:tcPr>
          <w:p>
            <w:pPr/>
            <w:r>
              <w:t xml:space="preserve">Local </w:t>
            </w:r>
            <w:r>
              <w:rPr>
                <w:rStyle w:val="CodeChar"/>
              </w:rPr>
              <w:t xml:space="preserve">cache/</w:t>
            </w:r>
          </w:p>
        </w:tc>
        <w:tc>
          <w:tcPr>
            <w:tcW w:w="2340" w:type="dxa"/>
          </w:tcPr>
          <w:p>
            <w:pPr/>
            <w:r>
              <w:t xml:space="preserve">~0.7 MB per look, ~0.4 GB a week</w:t>
            </w:r>
          </w:p>
        </w:tc>
        <w:tc>
          <w:tcPr>
            <w:tcW w:w="2340" w:type="dxa"/>
          </w:tcPr>
          <w:p>
            <w:pPr/>
            <w:r>
              <w:t xml:space="preserve">12 months, plus chips used by events</w:t>
            </w:r>
          </w:p>
        </w:tc>
      </w:tr>
      <w:tr>
        <w:tc>
          <w:tcPr>
            <w:tcW w:w="2340" w:type="dxa"/>
          </w:tcPr>
          <w:p>
            <w:pPr/>
            <w:r>
              <w:t xml:space="preserve">Optical chips (7 bands)</w:t>
            </w:r>
          </w:p>
        </w:tc>
        <w:tc>
          <w:tcPr>
            <w:tcW w:w="2340" w:type="dxa"/>
          </w:tcPr>
          <w:p>
            <w:pPr/>
            <w:r>
              <w:t xml:space="preserve">Local </w:t>
            </w:r>
            <w:r>
              <w:rPr>
                <w:rStyle w:val="CodeChar"/>
              </w:rPr>
              <w:t xml:space="preserve">cache/</w:t>
            </w:r>
          </w:p>
        </w:tc>
        <w:tc>
          <w:tcPr>
            <w:tcW w:w="2340" w:type="dxa"/>
          </w:tcPr>
          <w:p>
            <w:pPr/>
            <w:r>
              <w:t xml:space="preserve">~2 MB per look, ~0.4 GB a week</w:t>
            </w:r>
          </w:p>
        </w:tc>
        <w:tc>
          <w:tcPr>
            <w:tcW w:w="2340" w:type="dxa"/>
          </w:tcPr>
          <w:p>
            <w:pPr/>
            <w:r>
              <w:t xml:space="preserve">12 months, plus chips used by events</w:t>
            </w:r>
          </w:p>
        </w:tc>
      </w:tr>
      <w:tr>
        <w:tc>
          <w:tcPr>
            <w:tcW w:w="2340" w:type="dxa"/>
          </w:tcPr>
          <w:p>
            <w:pPr/>
            <w:r>
              <w:t xml:space="preserve">Baseline composites</w:t>
            </w:r>
          </w:p>
        </w:tc>
        <w:tc>
          <w:tcPr>
            <w:tcW w:w="2340" w:type="dxa"/>
          </w:tcPr>
          <w:p>
            <w:pPr/>
            <w:r>
              <w:t xml:space="preserve">Local</w:t>
            </w:r>
          </w:p>
        </w:tc>
        <w:tc>
          <w:tcPr>
            <w:tcW w:w="2340" w:type="dxa"/>
          </w:tcPr>
          <w:p>
            <w:pPr/>
            <w:r>
              <w:t xml:space="preserve">~5 MB per site</w:t>
            </w:r>
          </w:p>
        </w:tc>
        <w:tc>
          <w:tcPr>
            <w:tcW w:w="2340" w:type="dxa"/>
          </w:tcPr>
          <w:p>
            <w:pPr/>
            <w:r>
              <w:t xml:space="preserve">Rolling</w:t>
            </w:r>
          </w:p>
        </w:tc>
      </w:tr>
      <w:tr>
        <w:tc>
          <w:tcPr>
            <w:tcW w:w="2340" w:type="dxa"/>
          </w:tcPr>
          <w:p>
            <w:pPr/>
            <w:r>
              <w:t xml:space="preserve">Results database</w:t>
            </w:r>
          </w:p>
        </w:tc>
        <w:tc>
          <w:tcPr>
            <w:tcW w:w="2340" w:type="dxa"/>
          </w:tcPr>
          <w:p>
            <w:pPr/>
            <w:r>
              <w:t xml:space="preserve">Local DuckDB</w:t>
            </w:r>
          </w:p>
        </w:tc>
        <w:tc>
          <w:tcPr>
            <w:tcW w:w="2340" w:type="dxa"/>
          </w:tcPr>
          <w:p>
            <w:pPr/>
            <w:r>
              <w:t xml:space="preserve">Under 1 GB after several years</w:t>
            </w:r>
          </w:p>
        </w:tc>
        <w:tc>
          <w:tcPr>
            <w:tcW w:w="2340" w:type="dxa"/>
          </w:tcPr>
          <w:p>
            <w:pPr/>
            <w:r>
              <w:t xml:space="preserve">Forever</w:t>
            </w:r>
          </w:p>
        </w:tc>
      </w:tr>
      <w:tr>
        <w:tc>
          <w:tcPr>
            <w:tcW w:w="2340" w:type="dxa"/>
          </w:tcPr>
          <w:p>
            <w:pPr/>
            <w:r>
              <w:t xml:space="preserve">Event images</w:t>
            </w:r>
          </w:p>
        </w:tc>
        <w:tc>
          <w:tcPr>
            <w:tcW w:w="2340" w:type="dxa"/>
          </w:tcPr>
          <w:p>
            <w:pPr/>
            <w:r>
              <w:t xml:space="preserve">Local </w:t>
            </w:r>
            <w:r>
              <w:rPr>
                <w:rStyle w:val="CodeChar"/>
              </w:rPr>
              <w:t xml:space="preserve">events/</w:t>
            </w:r>
            <w:r>
              <w:t xml:space="preserve"> and the site</w:t>
            </w:r>
          </w:p>
        </w:tc>
        <w:tc>
          <w:tcPr>
            <w:tcW w:w="2340" w:type="dxa"/>
          </w:tcPr>
          <w:p>
            <w:pPr/>
            <w:r>
              <w:t xml:space="preserve">~30 KB each; ~90 MB a year at 10 events per site</w:t>
            </w:r>
          </w:p>
        </w:tc>
        <w:tc>
          <w:tcPr>
            <w:tcW w:w="2340" w:type="dxa"/>
          </w:tcPr>
          <w:p>
            <w:pPr/>
            <w:r>
              <w:t xml:space="preserve">Forever</w:t>
            </w:r>
          </w:p>
        </w:tc>
      </w:tr>
      <w:tr>
        <w:tc>
          <w:tcPr>
            <w:tcW w:w="2340" w:type="dxa"/>
          </w:tcPr>
          <w:p>
            <w:pPr/>
            <w:r>
              <w:t xml:space="preserve">Pages, JSON, search index</w:t>
            </w:r>
          </w:p>
        </w:tc>
        <w:tc>
          <w:tcPr>
            <w:tcW w:w="2340" w:type="dxa"/>
          </w:tcPr>
          <w:p>
            <w:pPr/>
            <w:r>
              <w:t xml:space="preserve">Site repo</w:t>
            </w:r>
          </w:p>
        </w:tc>
        <w:tc>
          <w:tcPr>
            <w:tcW w:w="2340" w:type="dxa"/>
          </w:tcPr>
          <w:p>
            <w:pPr/>
            <w:r>
              <w:t xml:space="preserve">Tens of MB</w:t>
            </w:r>
          </w:p>
        </w:tc>
        <w:tc>
          <w:tcPr>
            <w:tcW w:w="2340" w:type="dxa"/>
          </w:tcPr>
          <w:p>
            <w:pPr/>
            <w:r>
              <w:t xml:space="preserve">Rebuilt on every publish</w:t>
            </w:r>
          </w:p>
        </w:tc>
      </w:tr>
    </w:tbl>
    <w:p>
      <w:pPr/>
      <w:r>
        <w:t xml:space="preserve">Back up </w:t>
      </w:r>
      <w:r>
        <w:rPr>
          <w:rStyle w:val="CodeChar"/>
        </w:rPr>
        <w:t xml:space="preserve">db/</w:t>
      </w:r>
      <w:r>
        <w:t xml:space="preserve"> and </w:t>
      </w:r>
      <w:r>
        <w:rPr>
          <w:rStyle w:val="CodeChar"/>
        </w:rPr>
        <w:t xml:space="preserve">events/</w:t>
      </w:r>
      <w:r>
        <w:t xml:space="preserve"> weekly to a second drive; the chip cache can always be re-downloaded. The publish check fails if the built site exceeds 800 MB, which this budget should not reach for several years.</w:t>
      </w:r>
    </w:p>
    <w:p>
      <w:pPr>
        <w:pStyle w:val="Heading2"/>
      </w:pPr>
      <w:r>
        <w:rPr>
          <w:color w:val="000000"/>
        </w:rPr>
        <w:t>Testing and validation</w:t>
      </w:r>
    </w:p>
    <w:p>
      <w:pPr/>
      <w:r>
        <w:t xml:space="preserve">Three questions need separate answers: does the code compute what it claims, does it work anywhere on Earth, and do the levels mean anything.</w:t>
      </w:r>
    </w:p>
    <w:p>
      <w:pPr/>
      <w:r>
        <w:t xml:space="preserve">Code correctness:</w:t>
      </w:r>
    </w:p>
    <w:p>
      <w:pPr>
        <w:pStyle w:val="ListParagraph"/>
        <w:numPr>
          <w:ilvl w:val="0"/>
          <w:numId w:val="19"/>
        </w:numPr>
      </w:pPr>
      <w:r>
        <w:t xml:space="preserve">Unit tests for index maths, SCL masking, CFAR on synthetic arrays with planted targets, robust z with MAD of zero, ISO-week edges (week 53, year boundaries) and catch-up after missed weeks.</w:t>
      </w:r>
    </w:p>
    <w:p>
      <w:pPr>
        <w:pStyle w:val="ListParagraph"/>
        <w:numPr>
          <w:ilvl w:val="0"/>
          <w:numId w:val="19"/>
        </w:numPr>
      </w:pPr>
      <w:r>
        <w:t xml:space="preserve">Golden tests on small fixture chips (under 5 MB in total) for one airbase and one naval site; any change in indicator output must be deliberate and bump </w:t>
      </w:r>
      <w:r>
        <w:rPr>
          <w:rStyle w:val="CodeChar"/>
        </w:rPr>
        <w:t xml:space="preserve">algo_version</w:t>
      </w:r>
      <w:r>
        <w:t xml:space="preserve">.</w:t>
      </w:r>
    </w:p>
    <w:p>
      <w:pPr>
        <w:pStyle w:val="ListParagraph"/>
        <w:numPr>
          <w:ilvl w:val="0"/>
          <w:numId w:val="19"/>
        </w:numPr>
      </w:pPr>
      <w:r>
        <w:t xml:space="preserve">Catalogue tests: schema, referential integrity, every link sourced, no orphan tags, stable ids.</w:t>
      </w:r>
    </w:p>
    <w:p>
      <w:pPr>
        <w:pStyle w:val="ListParagraph"/>
        <w:numPr>
          <w:ilvl w:val="0"/>
          <w:numId w:val="19"/>
        </w:numPr>
      </w:pPr>
      <w:r>
        <w:t xml:space="preserve">Site tests: Hugo build with a fixture catalogue, internal link check, JSON Schema validation, and a Playwright check that site, unit, equipment, tag and event pages render with no console errors.</w:t>
      </w:r>
    </w:p>
    <w:p>
      <w:pPr/>
      <w:r>
        <w:t xml:space="preserve">Anywhere on Earth (fixture sites chosen to hit each case):</w:t>
      </w:r>
    </w:p>
    <w:p>
      <w:pPr>
        <w:pStyle w:val="ListParagraph"/>
        <w:numPr>
          <w:ilvl w:val="0"/>
          <w:numId w:val="20"/>
        </w:numPr>
      </w:pPr>
      <w:r>
        <w:t xml:space="preserve">Southern-hemisphere UTM, a site straddling a UTM zone edge, and an AOI crossing the antimeridian.</w:t>
      </w:r>
    </w:p>
    <w:p>
      <w:pPr>
        <w:pStyle w:val="ListParagraph"/>
        <w:numPr>
          <w:ilvl w:val="0"/>
          <w:numId w:val="20"/>
        </w:numPr>
      </w:pPr>
      <w:r>
        <w:t xml:space="preserve">High-latitude sites in polar night (radar-only weeks) and a tropical site with months of cloud.</w:t>
      </w:r>
    </w:p>
    <w:p>
      <w:pPr>
        <w:pStyle w:val="ListParagraph"/>
        <w:numPr>
          <w:ilvl w:val="0"/>
          <w:numId w:val="20"/>
        </w:numPr>
      </w:pPr>
      <w:r>
        <w:t xml:space="preserve">A radar-only site outside Sentinel-2 coverage, and a site imaged in HH+HV instead of VV+VH.</w:t>
      </w:r>
    </w:p>
    <w:p>
      <w:pPr>
        <w:pStyle w:val="ListParagraph"/>
        <w:numPr>
          <w:ilvl w:val="0"/>
          <w:numId w:val="20"/>
        </w:numPr>
      </w:pPr>
      <w:r>
        <w:t xml:space="preserve">Non-Latin local names (Cyrillic, Arabic, Chinese) rendered correctly in pages, search and file names.</w:t>
      </w:r>
    </w:p>
    <w:p>
      <w:pPr/>
      <w:r>
        <w:t xml:space="preserve">Algorithm validity:</w:t>
      </w:r>
    </w:p>
    <w:p>
      <w:pPr>
        <w:pStyle w:val="ListParagraph"/>
        <w:numPr>
          <w:ilvl w:val="0"/>
          <w:numId w:val="21"/>
        </w:numPr>
      </w:pPr>
      <w:r>
        <w:t xml:space="preserve">Backfill 2024–2026 for 5–10 sites across several countries and check flags against events reported in open sources, such as the June 2025 drone strikes on Russian strategic airbases. Confirm each event's date from a source before treating it as ground truth.</w:t>
      </w:r>
    </w:p>
    <w:p>
      <w:pPr>
        <w:pStyle w:val="ListParagraph"/>
        <w:numPr>
          <w:ilvl w:val="0"/>
          <w:numId w:val="21"/>
        </w:numPr>
      </w:pPr>
      <w:r>
        <w:t xml:space="preserve">Track per site: share of Elevated or High events confirmed on review (target 60 % or more after tuning), false events per site-year, and share of weeks with no data.</w:t>
      </w:r>
    </w:p>
    <w:p>
      <w:pPr>
        <w:pStyle w:val="ListParagraph"/>
        <w:numPr>
          <w:ilvl w:val="0"/>
          <w:numId w:val="21"/>
        </w:numPr>
      </w:pPr>
      <w:r>
        <w:t xml:space="preserve">Re-score history only by bumping </w:t>
      </w:r>
      <w:r>
        <w:rPr>
          <w:rStyle w:val="CodeChar"/>
        </w:rPr>
        <w:t xml:space="preserve">algo_version</w:t>
      </w:r>
      <w:r>
        <w:t xml:space="preserve"> and keeping old outputs, so published judgements stay traceable.</w:t>
      </w:r>
    </w:p>
    <w:p>
      <w:pPr>
        <w:pStyle w:val="Heading2"/>
      </w:pPr>
      <w:r>
        <w:rPr>
          <w:color w:val="000000"/>
        </w:rPr>
        <w:t>Milestones for the coding agent</w:t>
      </w:r>
    </w:p>
    <w:p>
      <w:pPr/>
      <w:r>
        <w:t>Work in milestone order. Phase 0 is merged in PR 1. Phase 1 remains in draft PR 2 until the CDSE optical fallback window-read check passes. Later phases are planned work. Checklist: [x] complete, [~] partial, [ ] future.</w:t>
      </w:r>
    </w:p>
    <w:p>
      <w:pPr/>
      <w:r>
        <w:t xml:space="preserve">Ground rules for the agent:</w:t>
      </w:r>
    </w:p>
    <w:p>
      <w:pPr>
        <w:pStyle w:val="ListParagraph"/>
        <w:numPr>
          <w:ilvl w:val="0"/>
          <w:numId w:val="22"/>
        </w:numPr>
      </w:pPr>
      <w:r>
        <w:t xml:space="preserve">Never type coordinates, unit or equipment facts, site names or thresholds into code; they live in </w:t>
      </w:r>
      <w:r>
        <w:rPr>
          <w:rStyle w:val="CodeChar"/>
        </w:rPr>
        <w:t xml:space="preserve">catalogue/</w:t>
      </w:r>
      <w:r>
        <w:t xml:space="preserve"> and </w:t>
      </w:r>
      <w:r>
        <w:rPr>
          <w:rStyle w:val="CodeChar"/>
        </w:rPr>
        <w:t xml:space="preserve">config/</w:t>
      </w:r>
      <w:r>
        <w:t xml:space="preserve">.</w:t>
      </w:r>
    </w:p>
    <w:p>
      <w:pPr>
        <w:pStyle w:val="ListParagraph"/>
        <w:numPr>
          <w:ilvl w:val="0"/>
          <w:numId w:val="22"/>
        </w:numPr>
      </w:pPr>
      <w:r>
        <w:t xml:space="preserve">Never put credentials, imagery or the local workspace in either repository.</w:t>
      </w:r>
    </w:p>
    <w:p>
      <w:pPr>
        <w:pStyle w:val="ListParagraph"/>
        <w:numPr>
          <w:ilvl w:val="0"/>
          <w:numId w:val="22"/>
        </w:numPr>
      </w:pPr>
      <w:r>
        <w:t xml:space="preserve">The catalogue covers sites, units and equipment only, never named individuals or personal data.</w:t>
      </w:r>
    </w:p>
    <w:p>
      <w:pPr>
        <w:pStyle w:val="ListParagraph"/>
        <w:numPr>
          <w:ilvl w:val="0"/>
          <w:numId w:val="22"/>
        </w:numPr>
      </w:pPr>
      <w:r>
        <w:t xml:space="preserve">Every output carries </w:t>
      </w:r>
      <w:r>
        <w:rPr>
          <w:rStyle w:val="CodeChar"/>
        </w:rPr>
        <w:t xml:space="preserve">algo_version</w:t>
      </w:r>
      <w:r>
        <w:t xml:space="preserve">, provider and scene ids, so any result traces back to its inputs.</w:t>
      </w:r>
    </w:p>
    <w:p>
      <w:pPr>
        <w:pStyle w:val="ListParagraph"/>
        <w:numPr>
          <w:ilvl w:val="0"/>
          <w:numId w:val="22"/>
        </w:numPr>
      </w:pPr>
      <w:r>
        <w:t xml:space="preserve">Nothing country-specific in code: a new country must need catalogue files only.</w:t>
      </w:r>
    </w:p>
    <w:p>
      <w:pPr>
        <w:pStyle w:val="ListParagraph"/>
        <w:numPr>
          <w:ilvl w:val="0"/>
          <w:numId w:val="22"/>
        </w:numPr>
      </w:pPr>
      <w:r>
        <w:t xml:space="preserve">Record design decisions as short ADRs in </w:t>
      </w:r>
      <w:r>
        <w:rPr>
          <w:rStyle w:val="CodeChar"/>
        </w:rPr>
        <w:t xml:space="preserve">docs/adr/</w:t>
      </w:r>
      <w:r>
        <w:t xml:space="preserve">.</w:t>
      </w:r>
    </w:p>
    <w:p>
      <w:pPr>
        <w:pStyle w:val="Heading3"/>
        <w:keepNext/>
      </w:pPr>
      <w:r>
        <w:t>Phase 0 Foundation complete</w:t>
      </w:r>
    </w:p>
    <w:p>
      <w:pPr>
        <w:spacing w:after="80"/>
        <w:ind w:left="288" w:hanging="288"/>
      </w:pPr>
      <w:r>
        <w:t>[x] Repository layout, Python 3.12 and uv, Ruff, strict mypy, pytest/Hypothesis, pre-commit and the cross-platform check command.</w:t>
      </w:r>
    </w:p>
    <w:p>
      <w:pPr>
        <w:spacing w:after="80"/>
        <w:ind w:left="288" w:hanging="288"/>
      </w:pPr>
      <w:r>
        <w:t>[x] Strict Pydantic settings/catalogue contracts, six generated JSON Schemas, offline integrity checks and UTC ISO-week planning.</w:t>
      </w:r>
    </w:p>
    <w:p>
      <w:pPr/>
      <w:r>
        <w:t>Acceptance passed in merged PR 1. The allyourbase CLI lists run, review, publish, backfill and catalogue; basewatch remains an alias. Current validation passes 131 tests and all required checks.</w:t>
      </w:r>
    </w:p>
    <w:p>
      <w:pPr>
        <w:pStyle w:val="Heading3"/>
        <w:keepNext/>
      </w:pPr>
      <w:r>
        <w:t>Phase 1 Data access primary verified</w:t>
      </w:r>
    </w:p>
    <w:p>
      <w:pPr>
        <w:spacing w:after="80"/>
        <w:ind w:left="288" w:hanging="288"/>
      </w:pPr>
      <w:r>
        <w:t>[~] Eight-week discovery passes at the owner-approved Chkalovskiy, Engels and Olenya 4 km test windows. Earth Search optical reads pass; CDSE optical pixels still need separate S3 keys. The owner replaced the three-country spike with this Russian pilot on 14 October 2026.</w:t>
      </w:r>
    </w:p>
    <w:p>
      <w:pPr>
        <w:spacing w:after="80"/>
        <w:ind w:left="288" w:hanging="288"/>
      </w:pPr>
      <w:r>
        <w:t>[x] CDSE radar Process reads pass at all three areas: terrain-flattened linear gamma-zero, orthorectified 10 m FLOAT32 windows, both polarisations plus shadowMask/dataMask, validated scene IDs and grids.</w:t>
      </w:r>
    </w:p>
    <w:p>
      <w:pPr>
        <w:spacing w:after="80"/>
        <w:ind w:left="288" w:hanging="288"/>
      </w:pPr>
      <w:r>
        <w:t>[x] 96 site/provider/week rows have acquisitions for 2026-W34 to W41. Seven optical bands per area and three radar chips were read; each successful radar Process call reported 3.067035675 processing units.</w:t>
      </w:r>
    </w:p>
    <w:p>
      <w:pPr/>
      <w:r>
        <w:t>Acceptance partly passed. Finish CDSE optical window reads with local S3 credentials, record fallback evidence and complete PR 2 review. ADR 0002 selects Earth Search and CDSE Sentinel Hub as measured primaries; fallback pixel access is provisional. RTC metadata coverage is observed, but RTC pixel retrieval/signing and GDAL transfer instrumentation remain unimplemented.</w:t>
      </w:r>
    </w:p>
    <w:p>
      <w:pPr>
        <w:pStyle w:val="Heading3"/>
        <w:keepNext/>
      </w:pPr>
      <w:r>
        <w:t>Phase 2 Catalogue ingestion and taxonomy planned</w:t>
      </w:r>
    </w:p>
    <w:p>
      <w:pPr>
        <w:spacing w:after="80"/>
        <w:ind w:left="288" w:hanging="288"/>
      </w:pPr>
      <w:r>
        <w:t>[x] Site, unit, equipment, source/reuse-class and taxonomy models and JSON Schemas are implemented. The production catalogue remains empty.</w:t>
      </w:r>
    </w:p>
    <w:p>
      <w:pPr>
        <w:spacing w:after="80"/>
        <w:ind w:left="288" w:hanging="288"/>
      </w:pPr>
      <w:r>
        <w:t>[ ] Build OSM/Geofabrik, Wikidata, OurAirports and GeoNames import connectors with immutable snapshots and manifests.</w:t>
      </w:r>
    </w:p>
    <w:p>
      <w:pPr>
        <w:spacing w:after="80"/>
        <w:ind w:left="288" w:hanging="288"/>
      </w:pPr>
      <w:r>
        <w:t>[ ] Extract permitted reference-class order-of-battle PDFs with page references.</w:t>
      </w:r>
    </w:p>
    <w:p>
      <w:pPr>
        <w:spacing w:after="80"/>
        <w:ind w:left="288" w:hanging="288"/>
      </w:pPr>
      <w:r>
        <w:t>[ ] Implement DuckDB staging, name/designation normalization, geocoding, site/unit matching and link proposals.</w:t>
      </w:r>
    </w:p>
    <w:p>
      <w:pPr>
        <w:spacing w:after="80"/>
        <w:ind w:left="288" w:hanging="288"/>
      </w:pPr>
      <w:r>
        <w:t>[ ] Build the catalogue review queue; write accepted sourced records and remember rejections.</w:t>
      </w:r>
    </w:p>
    <w:p>
      <w:pPr>
        <w:spacing w:after="80"/>
        <w:ind w:left="288" w:hanging="288"/>
      </w:pPr>
      <w:r>
        <w:t>[ ] Curate at least 10 Russian production sites across airbases, naval bases and garrisons, with reviewed AOIs/zones and sourced unit/equipment links. Access-test squares are not complete production boundaries.</w:t>
      </w:r>
    </w:p>
    <w:p>
      <w:pPr/>
      <w:r>
        <w:t xml:space="preserve">Accept: </w:t>
      </w:r>
      <w:r>
        <w:rPr>
          <w:rStyle w:val="CodeChar"/>
        </w:rPr>
        <w:t xml:space="preserve">basewatch catalogue check</w:t>
      </w:r>
      <w:r>
        <w:t xml:space="preserve"> passes; every catalogue fact traces to a snapshot or a cited page; re-running ingestion on unchanged snapshots creates no new proposals; a preview map shows every zone correctly.</w:t>
      </w:r>
    </w:p>
    <w:p>
      <w:pPr>
        <w:pStyle w:val="Heading3"/>
        <w:keepNext/>
      </w:pPr>
      <w:r>
        <w:t>Phase 3 Preprocessing and indicators planned</w:t>
      </w:r>
    </w:p>
    <w:p>
      <w:pPr>
        <w:spacing w:after="80"/>
        <w:ind w:left="288" w:hanging="288"/>
      </w:pPr>
      <w:r>
        <w:t>[~] Radar request grids and antimeridian discovery splitting exist. Finish shared UTM/polar/antimeridian grids, harmonized resampling, persistent chip cache, masks and alignment checks.</w:t>
      </w:r>
    </w:p>
    <w:p>
      <w:pPr>
        <w:spacing w:after="80"/>
        <w:ind w:left="288" w:hanging="288"/>
      </w:pPr>
      <w:r>
        <w:t>[ ] Implement every configured indicator, synthetic correctness tests and small golden fixtures; version algorithm outputs.</w:t>
      </w:r>
    </w:p>
    <w:p>
      <w:pPr/>
      <w:r>
        <w:t>Acceptance target, not achieved: a site-week run under five minutes cold and under one minute from cache. Full run execution and indicators are not implemented.</w:t>
      </w:r>
    </w:p>
    <w:p>
      <w:pPr>
        <w:pStyle w:val="Heading3"/>
        <w:keepNext/>
      </w:pPr>
      <w:r>
        <w:t>Phase 4 Backfill and baselines planned</w:t>
      </w:r>
    </w:p>
    <w:p>
      <w:pPr>
        <w:spacing w:after="80"/>
        <w:ind w:left="288" w:hanging="288"/>
      </w:pPr>
      <w:r>
        <w:t>[ ] Implement resumable historical processing from 2024-W01, catch-up and late-scene rechecks. Existing backfill --plan only plans work.</w:t>
      </w:r>
    </w:p>
    <w:p>
      <w:pPr>
        <w:spacing w:after="80"/>
        <w:ind w:left="288" w:hanging="288"/>
      </w:pPr>
      <w:r>
        <w:t>[ ] Store seasonal/rolling baselines with observation counts and warm-up handling.</w:t>
      </w:r>
    </w:p>
    <w:p>
      <w:pPr/>
      <w:r>
        <w:t xml:space="preserve">Accept: at least 52 weeks of history for every pilot site, plus a data-gap report.</w:t>
      </w:r>
    </w:p>
    <w:p>
      <w:pPr>
        <w:pStyle w:val="Heading3"/>
        <w:keepNext/>
      </w:pPr>
      <w:r>
        <w:t>Phase 5 Scoring events images and review planned</w:t>
      </w:r>
    </w:p>
    <w:p>
      <w:pPr>
        <w:spacing w:after="80"/>
        <w:ind w:left="288" w:hanging="288"/>
      </w:pPr>
      <w:r>
        <w:t>[ ] Levels, direction, confidence, drivers; event merging</w:t>
      </w:r>
    </w:p>
    <w:p>
      <w:pPr>
        <w:spacing w:after="80"/>
        <w:ind w:left="288" w:hanging="288"/>
      </w:pPr>
      <w:r>
        <w:t>[ ] Activity image renderer (radar pair and change composite, optical pair when clear)</w:t>
      </w:r>
    </w:p>
    <w:p>
      <w:pPr>
        <w:spacing w:after="80"/>
        <w:ind w:left="288" w:hanging="288"/>
      </w:pPr>
      <w:r>
        <w:t>[ ] Local review app with persistent decisions and publish policy</w:t>
      </w:r>
    </w:p>
    <w:p>
      <w:pPr/>
      <w:r>
        <w:t xml:space="preserve">Accept: every Elevated or High week yields one event with images of 40 KB or less each, and review decisions survive a restart.</w:t>
      </w:r>
    </w:p>
    <w:p>
      <w:pPr>
        <w:pStyle w:val="Heading3"/>
        <w:keepNext/>
      </w:pPr>
      <w:r>
        <w:t>Phase 6 Static website planned</w:t>
      </w:r>
    </w:p>
    <w:p>
      <w:pPr>
        <w:spacing w:after="80"/>
        <w:ind w:left="288" w:hanging="288"/>
      </w:pPr>
      <w:r>
        <w:t>[ ] Hugo templates for overview, site, unit, equipment, tag term, country, event, digest and methods pages</w:t>
      </w:r>
    </w:p>
    <w:p>
      <w:pPr>
        <w:spacing w:after="80"/>
        <w:ind w:left="288" w:hanging="288"/>
      </w:pPr>
      <w:r>
        <w:t>[ ] Taxonomies with term metadata, facet index, Pagefind search, maps and charts</w:t>
      </w:r>
    </w:p>
    <w:p>
      <w:pPr/>
      <w:r>
        <w:t xml:space="preserve">Accept: build under 2 minutes for 100 sites, usable at 375 px width, no console errors, zero broken internal links.</w:t>
      </w:r>
    </w:p>
    <w:p>
      <w:pPr>
        <w:pStyle w:val="Heading3"/>
        <w:keepNext/>
      </w:pPr>
      <w:r>
        <w:t>Phase 7 Publishing and operations planned</w:t>
      </w:r>
    </w:p>
    <w:p>
      <w:pPr>
        <w:spacing w:after="80"/>
        <w:ind w:left="288" w:hanging="288"/>
      </w:pPr>
      <w:r>
        <w:t>[ ] Implement reviewed export, Hugo/Pagefind builds, output allow-list and size/schema/link checks, and a separate publication repository with scoped credentials.</w:t>
      </w:r>
    </w:p>
    <w:p>
      <w:pPr>
        <w:spacing w:after="80"/>
        <w:ind w:left="288" w:hanging="288"/>
      </w:pPr>
      <w:r>
        <w:t>[~] A locked, atomic JSON radar reservation ledger exists for the spike. Implement full operational usage accounting, the DuckDB results store, schedulers, notifications, locks, catch-up and weekly backup.</w:t>
      </w:r>
    </w:p>
    <w:p>
      <w:pPr/>
      <w:r>
        <w:t xml:space="preserve">Accept: two consecutive scheduled weeks run unattended, and publish succeeds after review.</w:t>
      </w:r>
    </w:p>
    <w:p>
      <w:pPr>
        <w:pStyle w:val="Heading3"/>
        <w:keepNext/>
      </w:pPr>
      <w:r>
        <w:t>Phase 7a Optional Colab runtime planned</w:t>
      </w:r>
    </w:p>
    <w:p>
      <w:pPr>
        <w:spacing w:after="80"/>
        <w:ind w:left="288" w:hanging="288"/>
      </w:pPr>
      <w:r>
        <w:t>[~] Runtime/workspace settings and ALLYOURBASE_HOME/BASEWATCH_HOME resolution exist. Implement Colab integration and chips packed per site/month.</w:t>
      </w:r>
    </w:p>
    <w:p>
      <w:pPr>
        <w:spacing w:after="80"/>
        <w:ind w:left="288" w:hanging="288"/>
      </w:pPr>
      <w:r>
        <w:t>[ ] notebooks/colab_run.ipynb launcher: Drive mount, pinned install, Colab Secrets, state restore, checkpointed sync, RUNNING.lock</w:t>
      </w:r>
    </w:p>
    <w:p>
      <w:pPr>
        <w:spacing w:after="80"/>
        <w:ind w:left="288" w:hanging="288"/>
      </w:pPr>
      <w:r>
        <w:t>[ ] Optional in-notebook review cell</w:t>
      </w:r>
    </w:p>
    <w:p>
      <w:pPr/>
      <w:r>
        <w:t xml:space="preserve">Accept: a backfill killed midway resumes from its last checkpoint with no duplicate or corrupted results, and the local machine and Colab never write at the same time.</w:t>
      </w:r>
    </w:p>
    <w:p>
      <w:pPr>
        <w:pStyle w:val="Heading3"/>
        <w:keepNext/>
      </w:pPr>
      <w:r>
        <w:t>Phase 8 Another country or climate planned</w:t>
      </w:r>
    </w:p>
    <w:p>
      <w:pPr>
        <w:spacing w:after="80"/>
        <w:ind w:left="288" w:hanging="288"/>
      </w:pPr>
      <w:r>
        <w:t>[ ] Add another country/hemisphere or climate through the reviewed ingestion pipeline and catalogue/configuration records. Multinational live checks were deferred from the current Russian pilot.</w:t>
      </w:r>
    </w:p>
    <w:p>
      <w:pPr/>
      <w:r>
        <w:t xml:space="preserve">Accept: no code changes needed, and every anywhere-on-Earth test passes.</w:t>
      </w:r>
    </w:p>
    <w:p>
      <w:pPr>
        <w:pStyle w:val="Heading3"/>
        <w:keepNext/>
      </w:pPr>
      <w:r>
        <w:t>Phase 9 Validation and tuning planned</w:t>
      </w:r>
    </w:p>
    <w:p>
      <w:pPr>
        <w:spacing w:after="80"/>
        <w:ind w:left="288" w:hanging="288"/>
      </w:pPr>
      <w:r>
        <w:t>[ ] Backtests on reported events, threshold tuning, published methods page</w:t>
      </w:r>
    </w:p>
    <w:p>
      <w:pPr/>
      <w:r>
        <w:t xml:space="preserve">Accept: documented confirmation rate and false-event rate per site.</w:t>
      </w:r>
    </w:p>
    <w:p>
      <w:pPr>
        <w:pStyle w:val="Heading3"/>
        <w:keepNext/>
      </w:pPr>
      <w:r>
        <w:t>Phase 10 Optional machine learning planned</w:t>
      </w:r>
    </w:p>
    <w:p>
      <w:pPr>
        <w:spacing w:after="80"/>
        <w:ind w:left="288" w:hanging="288"/>
      </w:pPr>
      <w:r>
        <w:t>[ ] Isolation Forest second opinion; supervised model once labels suffice</w:t>
      </w:r>
    </w:p>
    <w:p>
      <w:pPr>
        <w:pStyle w:val="Heading2"/>
      </w:pPr>
      <w:r>
        <w:rPr>
          <w:color w:val="000000"/>
        </w:rPr>
        <w:t>Risks  licensing and responsible publication</w:t>
      </w:r>
    </w:p>
    <w:p>
      <w:pPr/>
      <w:r>
        <w:t xml:space="preserve">The biggest risks are data gaps, wrong catalogue facts and over-interpretation, not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Cloud and polar night</w:t>
            </w:r>
          </w:p>
        </w:tc>
        <w:tc>
          <w:tcPr>
            <w:tcW w:w="3120" w:type="dxa"/>
          </w:tcPr>
          <w:p>
            <w:pPr/>
            <w:r>
              <w:t xml:space="preserve">Weeks with no optical look</w:t>
            </w:r>
          </w:p>
        </w:tc>
        <w:tc>
          <w:tcPr>
            <w:tcW w:w="3120" w:type="dxa"/>
          </w:tcPr>
          <w:p>
            <w:pPr/>
            <w:r>
              <w:t xml:space="preserve">Radar carries the weekly signal; pages say "no clear optical look" instead of guessing</w:t>
            </w:r>
          </w:p>
        </w:tc>
      </w:tr>
      <w:tr>
        <w:tc>
          <w:tcPr>
            <w:tcW w:w="3120" w:type="dxa"/>
          </w:tcPr>
          <w:p>
            <w:pPr/>
            <w:r>
              <w:t xml:space="preserve">Provider gaps or API changes</w:t>
            </w:r>
          </w:p>
        </w:tc>
        <w:tc>
          <w:tcPr>
            <w:tcW w:w="3120" w:type="dxa"/>
          </w:tcPr>
          <w:p>
            <w:pPr/>
            <w:r>
              <w:t xml:space="preserve">Missing scenes, failed runs</w:t>
            </w:r>
          </w:p>
        </w:tc>
        <w:tc>
          <w:tcPr>
            <w:tcW w:w="3120" w:type="dxa"/>
          </w:tcPr>
          <w:p>
            <w:pPr/>
            <w:r>
              <w:t xml:space="preserve">Provider interface with fallback; gaps recorded explicitly</w:t>
            </w:r>
          </w:p>
        </w:tc>
      </w:tr>
      <w:tr>
        <w:tc>
          <w:tcPr>
            <w:tcW w:w="3120" w:type="dxa"/>
          </w:tcPr>
          <w:p>
            <w:pPr/>
            <w:r>
              <w:t xml:space="preserve">Fewer Sentinel-2 looks from 2027</w:t>
            </w:r>
          </w:p>
        </w:tc>
        <w:tc>
          <w:tcPr>
            <w:tcW w:w="3120" w:type="dxa"/>
          </w:tcPr>
          <w:p>
            <w:pPr/>
            <w:r>
              <w:t xml:space="preserve">2A's extra campaign ends 31 December 2026</w:t>
            </w:r>
          </w:p>
        </w:tc>
        <w:tc>
          <w:tcPr>
            <w:tcW w:w="3120" w:type="dxa"/>
          </w:tcPr>
          <w:p>
            <w:pPr/>
            <w:r>
              <w:t xml:space="preserve">Baselines counted per observation, not per week</w:t>
            </w:r>
          </w:p>
        </w:tc>
      </w:tr>
      <w:tr>
        <w:tc>
          <w:tcPr>
            <w:tcW w:w="3120" w:type="dxa"/>
          </w:tcPr>
          <w:p>
            <w:pPr/>
            <w:r>
              <w:t xml:space="preserve">Decoys and deception</w:t>
            </w:r>
          </w:p>
        </w:tc>
        <w:tc>
          <w:tcPr>
            <w:tcW w:w="3120" w:type="dxa"/>
          </w:tcPr>
          <w:p>
            <w:pPr/>
            <w:r>
              <w:t xml:space="preserve">Painted or inflatable aircraft read as real</w:t>
            </w:r>
          </w:p>
        </w:tc>
        <w:tc>
          <w:tcPr>
            <w:tcW w:w="3120" w:type="dxa"/>
          </w:tcPr>
          <w:p>
            <w:pPr/>
            <w:r>
              <w:t xml:space="preserve">Never claim identity; High needs a second indicator or sensor</w:t>
            </w:r>
          </w:p>
        </w:tc>
      </w:tr>
      <w:tr>
        <w:tc>
          <w:tcPr>
            <w:tcW w:w="3120" w:type="dxa"/>
          </w:tcPr>
          <w:p>
            <w:pPr/>
            <w:r>
              <w:t xml:space="preserve">Wrong or stale unit and equipment links</w:t>
            </w:r>
          </w:p>
        </w:tc>
        <w:tc>
          <w:tcPr>
            <w:tcW w:w="3120" w:type="dxa"/>
          </w:tcPr>
          <w:p>
            <w:pPr/>
            <w:r>
              <w:t xml:space="preserve">Misattribution on public pages</w:t>
            </w:r>
          </w:p>
        </w:tc>
        <w:tc>
          <w:tcPr>
            <w:tcW w:w="3120" w:type="dxa"/>
          </w:tcPr>
          <w:p>
            <w:pPr/>
            <w:r>
              <w:t xml:space="preserve">Every link sourced, with confidence and as-of date shown; links older than 12 months flagged for re-check</w:t>
            </w:r>
          </w:p>
        </w:tc>
      </w:tr>
      <w:tr>
        <w:tc>
          <w:tcPr>
            <w:tcW w:w="3120" w:type="dxa"/>
          </w:tcPr>
          <w:p>
            <w:pPr/>
            <w:r>
              <w:t xml:space="preserve">Readers over-interpret</w:t>
            </w:r>
          </w:p>
        </w:tc>
        <w:tc>
          <w:tcPr>
            <w:tcW w:w="3120" w:type="dxa"/>
          </w:tcPr>
          <w:p>
            <w:pPr/>
            <w:r>
              <w:t xml:space="preserve">Indicators taken as intelligence conclusions</w:t>
            </w:r>
          </w:p>
        </w:tc>
        <w:tc>
          <w:tcPr>
            <w:tcW w:w="3120" w:type="dxa"/>
          </w:tcPr>
          <w:p>
            <w:pPr/>
            <w:r>
              <w:t xml:space="preserve">Confidence on every label; "indicator, not assessment" wording; methods page</w:t>
            </w:r>
          </w:p>
        </w:tc>
      </w:tr>
      <w:tr>
        <w:tc>
          <w:tcPr>
            <w:tcW w:w="3120" w:type="dxa"/>
          </w:tcPr>
          <w:p>
            <w:pPr/>
            <w:r>
              <w:t xml:space="preserve">Computer off or disk failure</w:t>
            </w:r>
          </w:p>
        </w:tc>
        <w:tc>
          <w:tcPr>
            <w:tcW w:w="3120" w:type="dxa"/>
          </w:tcPr>
          <w:p>
            <w:pPr/>
            <w:r>
              <w:t xml:space="preserve">Missed weeks, lost history</w:t>
            </w:r>
          </w:p>
        </w:tc>
        <w:tc>
          <w:tcPr>
            <w:tcW w:w="3120" w:type="dxa"/>
          </w:tcPr>
          <w:p>
            <w:pPr/>
            <w:r>
              <w:t xml:space="preserve">Catch-up runs; weekly backup of </w:t>
            </w:r>
            <w:r>
              <w:rPr>
                <w:rStyle w:val="CodeChar"/>
              </w:rPr>
              <w:t xml:space="preserve">db/</w:t>
            </w:r>
            <w:r>
              <w:t xml:space="preserve"> and </w:t>
            </w:r>
            <w:r>
              <w:rPr>
                <w:rStyle w:val="CodeChar"/>
              </w:rPr>
              <w:t xml:space="preserve">events/</w:t>
            </w:r>
            <w:r>
              <w:t xml:space="preserve">; red "last updated" banner</w:t>
            </w:r>
          </w:p>
        </w:tc>
      </w:tr>
      <w:tr>
        <w:tc>
          <w:tcPr>
            <w:tcW w:w="3120" w:type="dxa"/>
          </w:tcPr>
          <w:p>
            <w:pPr/>
            <w:r>
              <w:t xml:space="preserve">Credential leak</w:t>
            </w:r>
          </w:p>
        </w:tc>
        <w:tc>
          <w:tcPr>
            <w:tcW w:w="3120" w:type="dxa"/>
          </w:tcPr>
          <w:p>
            <w:pPr/>
            <w:r>
              <w:t xml:space="preserve">Misuse of CDSE or GitHub access</w:t>
            </w:r>
          </w:p>
        </w:tc>
        <w:tc>
          <w:tcPr>
            <w:tcW w:w="3120" w:type="dxa"/>
          </w:tcPr>
          <w:p>
            <w:pPr/>
            <w:r>
              <w:t xml:space="preserve">Keychain storage; deploy key scoped to the site repo; publish allow-list</w:t>
            </w:r>
          </w:p>
        </w:tc>
      </w:tr>
      <w:tr>
        <w:tc>
          <w:tcPr>
            <w:tcW w:w="3120" w:type="dxa"/>
          </w:tcPr>
          <w:p>
            <w:pPr/>
            <w:r>
              <w:t xml:space="preserve">Source terms or licences breached</w:t>
            </w:r>
          </w:p>
        </w:tc>
        <w:tc>
          <w:tcPr>
            <w:tcW w:w="3120" w:type="dxa"/>
          </w:tcPr>
          <w:p>
            <w:pPr/>
            <w:r>
              <w:t xml:space="preserve">Takedown requests, legal exposure</w:t>
            </w:r>
          </w:p>
        </w:tc>
        <w:tc>
          <w:tcPr>
            <w:tcW w:w="3120" w:type="dxa"/>
          </w:tcPr>
          <w:p>
            <w:pPr/>
            <w:r>
              <w:t xml:space="preserve">Reuse class on every source; no scraping of reference or manual sources; publish facts with citations, never copied text; no leaked personal data</w:t>
            </w:r>
          </w:p>
        </w:tc>
      </w:tr>
      <w:tr>
        <w:tc>
          <w:tcPr>
            <w:tcW w:w="3120" w:type="dxa"/>
          </w:tcPr>
          <w:p>
            <w:pPr/>
            <w:r>
              <w:t xml:space="preserve">Colab disconnects or its unpublished limits change</w:t>
            </w:r>
          </w:p>
        </w:tc>
        <w:tc>
          <w:tcPr>
            <w:tcW w:w="3120" w:type="dxa"/>
          </w:tcPr>
          <w:p>
            <w:pPr/>
            <w:r>
              <w:t xml:space="preserve">Partial runs, stale database on Drive</w:t>
            </w:r>
          </w:p>
        </w:tc>
        <w:tc>
          <w:tcPr>
            <w:tcW w:w="3120" w:type="dxa"/>
          </w:tcPr>
          <w:p>
            <w:pPr/>
            <w:r>
              <w:t xml:space="preserve">Checkpoint per site-week, atomic database copy, resume on rerun; the local runtime remains the fallback</w:t>
            </w:r>
          </w:p>
        </w:tc>
      </w:tr>
    </w:tbl>
    <w:p>
      <w:pPr/>
      <w:r>
        <w:t xml:space="preserve">Attribution: Copernicus Sentinel data is free and open; every image, page footer and data file states "Contains modified Copernicus Sentinel data [year]" with the project name. OpenStreetMap-derived geometry is shared under ODbL; Wikidata content is CC0.</w:t>
      </w:r>
    </w:p>
    <w:p>
      <w:pPr/>
      <w:r>
        <w:t xml:space="preserve">Decisions for you, not the agent:</w:t>
      </w:r>
    </w:p>
    <w:p>
      <w:pPr>
        <w:pStyle w:val="ListParagraph"/>
        <w:numPr>
          <w:ilvl w:val="0"/>
          <w:numId w:val="35"/>
        </w:numPr>
      </w:pPr>
      <w:r>
        <w:t xml:space="preserve">☐ Publication delay: publish as soon as reviewed, or hold for a set number of days</w:t>
      </w:r>
    </w:p>
    <w:p>
      <w:pPr>
        <w:pStyle w:val="ListParagraph"/>
        <w:numPr>
          <w:ilvl w:val="0"/>
          <w:numId w:val="35"/>
        </w:numPr>
      </w:pPr>
      <w:r>
        <w:t xml:space="preserve">☐ Publish policy: </w:t>
      </w:r>
      <w:r>
        <w:rPr>
          <w:rStyle w:val="CodeChar"/>
        </w:rPr>
        <w:t xml:space="preserve">reviewed_only</w:t>
      </w:r>
      <w:r>
        <w:t xml:space="preserve"> or </w:t>
      </w:r>
      <w:r>
        <w:rPr>
          <w:rStyle w:val="CodeChar"/>
        </w:rPr>
        <w:t xml:space="preserve">all_flagged</w:t>
      </w:r>
    </w:p>
    <w:p>
      <w:pPr>
        <w:pStyle w:val="ListParagraph"/>
        <w:numPr>
          <w:ilvl w:val="0"/>
          <w:numId w:val="35"/>
        </w:numPr>
      </w:pPr>
      <w:r>
        <w:t xml:space="preserve">☐ Final site list per country, and any exclusions where publishing could expose civilians</w:t>
      </w:r>
    </w:p>
    <w:p>
      <w:pPr>
        <w:pStyle w:val="ListParagraph"/>
        <w:numPr>
          <w:ilvl w:val="0"/>
          <w:numId w:val="35"/>
        </w:numPr>
      </w:pPr>
      <w:r>
        <w:t xml:space="preserve">☐ Legal check where you live and publish: some countries restrict publishing imagery or information about military sites, including their own</w:t>
      </w:r>
    </w:p>
    <w:p>
      <w:pPr>
        <w:pStyle w:val="ListParagraph"/>
        <w:numPr>
          <w:ilvl w:val="0"/>
          <w:numId w:val="35"/>
        </w:numPr>
      </w:pPr>
      <w:r>
        <w:t xml:space="preserve">☐ Publish under a personal account or an organisation account</w:t>
      </w:r>
    </w:p>
    <w:p>
      <w:pPr>
        <w:pStyle w:val="Heading2"/>
      </w:pPr>
      <w:r>
        <w:rPr>
          <w:color w:val="000000"/>
        </w:rPr>
        <w:t>Sources</w:t>
      </w:r>
    </w:p>
    <w:p>
      <w:pPr>
        <w:pStyle w:val="ListParagraph"/>
        <w:numPr>
          <w:ilvl w:val="0"/>
          <w:numId w:val="36"/>
        </w:numPr>
        <w:spacing w:after="40" w:line="240" w:lineRule="auto"/>
      </w:pPr>
      <w:hyperlink r:id="rId5" w:history="1">
        <w:r>
          <w:rPr>
            <w:rStyle w:val="Hyperlink"/>
          </w:rPr>
          <w:t xml:space="preserve">CDSE: STAC product catalogue</w:t>
        </w:r>
      </w:hyperlink>
    </w:p>
    <w:p>
      <w:pPr>
        <w:pStyle w:val="ListParagraph"/>
        <w:numPr>
          <w:ilvl w:val="0"/>
          <w:numId w:val="36"/>
        </w:numPr>
        <w:spacing w:after="40" w:line="240" w:lineRule="auto"/>
      </w:pPr>
      <w:hyperlink r:id="rId7" w:history="1">
        <w:r>
          <w:rPr>
            <w:rStyle w:val="Hyperlink"/>
          </w:rPr>
          <w:t xml:space="preserve">CDSE forum: Sentinel-2 L2A missing from STAC since 2026-06-11</w:t>
        </w:r>
      </w:hyperlink>
    </w:p>
    <w:p>
      <w:pPr>
        <w:pStyle w:val="ListParagraph"/>
        <w:numPr>
          <w:ilvl w:val="0"/>
          <w:numId w:val="36"/>
        </w:numPr>
        <w:spacing w:after="40" w:line="240" w:lineRule="auto"/>
      </w:pPr>
      <w:hyperlink r:id="rId6" w:history="1">
        <w:r>
          <w:rPr>
            <w:rStyle w:val="Hyperlink"/>
          </w:rPr>
          <w:t xml:space="preserve">CDSE Sentinel Hub: Sentinel-1 GRD processing options</w:t>
        </w:r>
      </w:hyperlink>
    </w:p>
    <w:p>
      <w:pPr>
        <w:pStyle w:val="ListParagraph"/>
        <w:numPr>
          <w:ilvl w:val="0"/>
          <w:numId w:val="36"/>
        </w:numPr>
        <w:spacing w:after="40" w:line="240" w:lineRule="auto"/>
      </w:pPr>
      <w:hyperlink r:id="rId8" w:history="1">
        <w:r>
          <w:rPr>
            <w:rStyle w:val="Hyperlink"/>
          </w:rPr>
          <w:t xml:space="preserve">CDSE: Sentinel Hub PU calculator and free quota</w:t>
        </w:r>
      </w:hyperlink>
    </w:p>
    <w:p>
      <w:pPr>
        <w:pStyle w:val="ListParagraph"/>
        <w:numPr>
          <w:ilvl w:val="0"/>
          <w:numId w:val="36"/>
        </w:numPr>
        <w:spacing w:after="40" w:line="240" w:lineRule="auto"/>
      </w:pPr>
      <w:hyperlink r:id="rId9" w:history="1">
        <w:r>
          <w:rPr>
            <w:rStyle w:val="Hyperlink"/>
          </w:rPr>
          <w:t xml:space="preserve">ESA: Sentinel-2 observation scenario and coverage</w:t>
        </w:r>
      </w:hyperlink>
    </w:p>
    <w:p>
      <w:pPr>
        <w:pStyle w:val="ListParagraph"/>
        <w:numPr>
          <w:ilvl w:val="0"/>
          <w:numId w:val="36"/>
        </w:numPr>
        <w:spacing w:after="40" w:line="240" w:lineRule="auto"/>
      </w:pPr>
      <w:hyperlink r:id="rId10" w:history="1">
        <w:r>
          <w:rPr>
            <w:rStyle w:val="Hyperlink"/>
          </w:rPr>
          <w:t xml:space="preserve">ASF: Sentinel-1D data and constellation changes</w:t>
        </w:r>
      </w:hyperlink>
    </w:p>
    <w:p>
      <w:pPr>
        <w:pStyle w:val="ListParagraph"/>
        <w:numPr>
          <w:ilvl w:val="0"/>
          <w:numId w:val="36"/>
        </w:numPr>
        <w:spacing w:after="40" w:line="240" w:lineRule="auto"/>
      </w:pPr>
      <w:hyperlink r:id="rId11" w:history="1">
        <w:r>
          <w:rPr>
            <w:rStyle w:val="Hyperlink"/>
          </w:rPr>
          <w:t xml:space="preserve">CDSE: Sentinel-1D user data opening and future plans</w:t>
        </w:r>
      </w:hyperlink>
    </w:p>
    <w:p>
      <w:pPr>
        <w:pStyle w:val="ListParagraph"/>
        <w:numPr>
          <w:ilvl w:val="0"/>
          <w:numId w:val="36"/>
        </w:numPr>
        <w:spacing w:after="40" w:line="240" w:lineRule="auto"/>
      </w:pPr>
      <w:hyperlink r:id="rId12" w:history="1">
        <w:r>
          <w:rPr>
            <w:rStyle w:val="Hyperlink"/>
          </w:rPr>
          <w:t xml:space="preserve">CDSE: Sentinel-2A extension prolonged to end of 2026</w:t>
        </w:r>
      </w:hyperlink>
    </w:p>
    <w:p>
      <w:pPr>
        <w:pStyle w:val="ListParagraph"/>
        <w:numPr>
          <w:ilvl w:val="0"/>
          <w:numId w:val="36"/>
        </w:numPr>
        <w:spacing w:after="40" w:line="240" w:lineRule="auto"/>
      </w:pPr>
      <w:hyperlink r:id="rId4" w:history="1">
        <w:r>
          <w:rPr>
            <w:rStyle w:val="Hyperlink"/>
          </w:rPr>
          <w:t xml:space="preserve">Element 84: Earth Search</w:t>
        </w:r>
      </w:hyperlink>
    </w:p>
    <w:p>
      <w:pPr>
        <w:pStyle w:val="ListParagraph"/>
        <w:numPr>
          <w:ilvl w:val="0"/>
          <w:numId w:val="36"/>
        </w:numPr>
        <w:spacing w:after="40" w:line="240" w:lineRule="auto"/>
      </w:pPr>
      <w:hyperlink r:id="rId13" w:history="1">
        <w:r>
          <w:rPr>
            <w:rStyle w:val="Hyperlink"/>
          </w:rPr>
          <w:t xml:space="preserve">Hugo: taxonomies</w:t>
        </w:r>
      </w:hyperlink>
    </w:p>
    <w:p>
      <w:pPr>
        <w:pStyle w:val="ListParagraph"/>
        <w:numPr>
          <w:ilvl w:val="0"/>
          <w:numId w:val="36"/>
        </w:numPr>
        <w:spacing w:after="40" w:line="240" w:lineRule="auto"/>
      </w:pPr>
      <w:hyperlink r:id="rId25" w:history="1">
        <w:r>
          <w:rPr>
            <w:rStyle w:val="Hyperlink"/>
          </w:rPr>
          <w:t xml:space="preserve">GitHub: Pages limits</w:t>
        </w:r>
      </w:hyperlink>
    </w:p>
    <w:p>
      <w:pPr>
        <w:pStyle w:val="ListParagraph"/>
        <w:numPr>
          <w:ilvl w:val="0"/>
          <w:numId w:val="36"/>
        </w:numPr>
        <w:spacing w:after="40" w:line="240" w:lineRule="auto"/>
      </w:pPr>
      <w:hyperlink r:id="rId22" w:history="1">
        <w:r>
          <w:rPr>
            <w:rStyle w:val="Hyperlink"/>
          </w:rPr>
          <w:t xml:space="preserve">Google Developers Blog: Colab is now part of your Google AI plan</w:t>
        </w:r>
      </w:hyperlink>
    </w:p>
    <w:p>
      <w:pPr>
        <w:pStyle w:val="ListParagraph"/>
        <w:numPr>
          <w:ilvl w:val="0"/>
          <w:numId w:val="36"/>
        </w:numPr>
        <w:spacing w:after="40" w:line="240" w:lineRule="auto"/>
      </w:pPr>
      <w:hyperlink r:id="rId23" w:history="1">
        <w:r>
          <w:rPr>
            <w:rStyle w:val="Hyperlink"/>
          </w:rPr>
          <w:t xml:space="preserve">Colab FAQ</w:t>
        </w:r>
      </w:hyperlink>
    </w:p>
    <w:p>
      <w:pPr>
        <w:pStyle w:val="ListParagraph"/>
        <w:numPr>
          <w:ilvl w:val="0"/>
          <w:numId w:val="36"/>
        </w:numPr>
        <w:spacing w:after="40" w:line="240" w:lineRule="auto"/>
      </w:pPr>
      <w:hyperlink r:id="rId24" w:history="1">
        <w:r>
          <w:rPr>
            <w:rStyle w:val="Hyperlink"/>
          </w:rPr>
          <w:t xml:space="preserve">TechRadar: Google AI Pro storage raised to 5 TB</w:t>
        </w:r>
      </w:hyperlink>
    </w:p>
    <w:p>
      <w:pPr>
        <w:pStyle w:val="ListParagraph"/>
        <w:numPr>
          <w:ilvl w:val="0"/>
          <w:numId w:val="36"/>
        </w:numPr>
        <w:spacing w:after="40" w:line="240" w:lineRule="auto"/>
      </w:pPr>
      <w:hyperlink r:id="rId15" w:history="1">
        <w:r>
          <w:rPr>
            <w:rStyle w:val="Hyperlink"/>
          </w:rPr>
          <w:t xml:space="preserve">OurAirports: open data downloads</w:t>
        </w:r>
      </w:hyperlink>
    </w:p>
    <w:p>
      <w:pPr>
        <w:pStyle w:val="ListParagraph"/>
        <w:numPr>
          <w:ilvl w:val="0"/>
          <w:numId w:val="36"/>
        </w:numPr>
        <w:spacing w:after="40" w:line="240" w:lineRule="auto"/>
      </w:pPr>
      <w:hyperlink r:id="rId20" w:history="1">
        <w:r>
          <w:rPr>
            <w:rStyle w:val="Hyperlink"/>
          </w:rPr>
          <w:t xml:space="preserve">GlobalMilitary.net: Russian military air bases</w:t>
        </w:r>
      </w:hyperlink>
    </w:p>
    <w:p>
      <w:pPr>
        <w:pStyle w:val="ListParagraph"/>
        <w:numPr>
          <w:ilvl w:val="0"/>
          <w:numId w:val="36"/>
        </w:numPr>
        <w:spacing w:after="40" w:line="240" w:lineRule="auto"/>
      </w:pPr>
      <w:hyperlink r:id="rId26" w:history="1">
        <w:r>
          <w:rPr>
            <w:rStyle w:val="Hyperlink"/>
          </w:rPr>
          <w:t xml:space="preserve">GlobalMilitary.net: Russian naval bases</w:t>
        </w:r>
      </w:hyperlink>
    </w:p>
    <w:p>
      <w:pPr>
        <w:pStyle w:val="ListParagraph"/>
        <w:numPr>
          <w:ilvl w:val="0"/>
          <w:numId w:val="36"/>
        </w:numPr>
        <w:spacing w:after="40" w:line="240" w:lineRule="auto"/>
      </w:pPr>
      <w:hyperlink r:id="rId16" w:history="1">
        <w:r>
          <w:rPr>
            <w:rStyle w:val="Hyperlink"/>
          </w:rPr>
          <w:t xml:space="preserve">ISW: Russian Regular Ground Forces Order of Battle (storymap)</w:t>
        </w:r>
      </w:hyperlink>
    </w:p>
    <w:p>
      <w:pPr>
        <w:pStyle w:val="ListParagraph"/>
        <w:numPr>
          <w:ilvl w:val="0"/>
          <w:numId w:val="36"/>
        </w:numPr>
        <w:spacing w:after="40" w:line="240" w:lineRule="auto"/>
      </w:pPr>
      <w:hyperlink r:id="rId17" w:history="1">
        <w:r>
          <w:rPr>
            <w:rStyle w:val="Hyperlink"/>
          </w:rPr>
          <w:t xml:space="preserve">CNA: Russian Forces in the Southern Military District</w:t>
        </w:r>
      </w:hyperlink>
    </w:p>
    <w:p>
      <w:pPr>
        <w:pStyle w:val="ListParagraph"/>
        <w:numPr>
          <w:ilvl w:val="0"/>
          <w:numId w:val="36"/>
        </w:numPr>
        <w:spacing w:after="40" w:line="240" w:lineRule="auto"/>
      </w:pPr>
      <w:hyperlink r:id="rId18" w:history="1">
        <w:r>
          <w:rPr>
            <w:rStyle w:val="Hyperlink"/>
          </w:rPr>
          <w:t xml:space="preserve">US Army TRADOC reference guide (FAS)</w:t>
        </w:r>
      </w:hyperlink>
    </w:p>
    <w:p>
      <w:pPr>
        <w:pStyle w:val="ListParagraph"/>
        <w:numPr>
          <w:ilvl w:val="0"/>
          <w:numId w:val="36"/>
        </w:numPr>
        <w:spacing w:after="40" w:line="240" w:lineRule="auto"/>
      </w:pPr>
      <w:hyperlink r:id="rId21" w:history="1">
        <w:r>
          <w:rPr>
            <w:rStyle w:val="Hyperlink"/>
          </w:rPr>
          <w:t xml:space="preserve">GlobalSecurity.org: Russian army order of battle</w:t>
        </w:r>
      </w:hyperlink>
    </w:p>
    <w:p>
      <w:pPr>
        <w:pStyle w:val="ListParagraph"/>
        <w:numPr>
          <w:ilvl w:val="0"/>
          <w:numId w:val="36"/>
        </w:numPr>
        <w:spacing w:after="40" w:line="240" w:lineRule="auto"/>
      </w:pPr>
      <w:hyperlink r:id="rId19" w:history="1">
        <w:r>
          <w:rPr>
            <w:rStyle w:val="Hyperlink"/>
          </w:rPr>
          <w:t xml:space="preserve">FAS: Nuclear Notebook, Russian Nuclear Weapons 2025</w:t>
        </w:r>
      </w:hyperlink>
    </w:p>
    <w:p>
      <w:pPr>
        <w:pStyle w:val="ListParagraph"/>
        <w:numPr>
          <w:ilvl w:val="0"/>
          <w:numId w:val="36"/>
        </w:numPr>
        <w:spacing w:after="40" w:line="240" w:lineRule="auto"/>
      </w:pPr>
      <w:hyperlink r:id="rId27" w:history="1">
        <w:r>
          <w:rPr>
            <w:rStyle w:val="Hyperlink"/>
          </w:rPr>
          <w:t xml:space="preserve">Report on the OSINT Varta map and its personal data</w:t>
        </w:r>
      </w:hyperlink>
    </w:p>
    <w:sectPr>
      <w:headerReference w:type="default" r:id="rId28"/>
      <w:pgSz w:w="12240" w:h="15840"/>
      <w:pgMar w:top="1440" w:right="1440" w:bottom="1440" w:left="1440" w:header="720" w:footer="720" w:gutter="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color w:val="000000"/>
      <w:sz w:val="32"/>
    </w:rPr>
  </w:style>
  <w:style w:type="paragraph" w:styleId="Heading2">
    <w:name w:val="heading 2"/>
    <w:basedOn w:val="Normal"/>
    <w:next w:val="Normal"/>
    <w:qFormat/>
    <w:pPr>
      <w:keepNext/>
      <w:spacing w:before="280" w:after="100"/>
      <w:outlineLvl w:val="1"/>
    </w:pPr>
    <w:rPr>
      <w:b/>
      <w:color w:val="000000"/>
      <w:sz w:val="26"/>
    </w:rPr>
  </w:style>
  <w:style w:type="paragraph" w:styleId="Heading3">
    <w:name w:val="heading 3"/>
    <w:basedOn w:val="Normal"/>
    <w:next w:val="Normal"/>
    <w:qFormat/>
    <w:pPr>
      <w:keepNext/>
      <w:spacing w:before="240" w:after="80"/>
      <w:outlineLvl w:val="2"/>
    </w:pPr>
    <w:rPr>
      <w:b/>
      <w:color w:val="000000"/>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color w:val="000000"/>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nUpdate">
    <w:name w:val="Plan Update"/>
    <w:basedOn w:val="Normal"/>
    <w:pPr>
      <w:spacing w:after="120" w:line="252" w:lineRule="auto"/>
    </w:pPr>
    <w:rPr>
      <w:rFonts w:ascii="Calibri" w:hAnsi="Calibri"/>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Element84/earth-search" TargetMode="External"/><Relationship Id="rId5" Type="http://schemas.openxmlformats.org/officeDocument/2006/relationships/hyperlink" Target="https://documentation.dataspace.copernicus.eu/APIs/newSTACcatalogue.html" TargetMode="External"/><Relationship Id="rId6" Type="http://schemas.openxmlformats.org/officeDocument/2006/relationships/hyperlink" Target="https://documentation.dataspace.copernicus.eu/APIs/SentinelHub/Data/S1GRD.html" TargetMode="External"/><Relationship Id="rId7" Type="http://schemas.openxmlformats.org/officeDocument/2006/relationships/hyperlink" Target="https://forum.dataspace.copernicus.eu/t/stac-catalogue-missing-sentinel-2-l2a-data-since-2026-06-11/5216" TargetMode="External"/><Relationship Id="rId8" Type="http://schemas.openxmlformats.org/officeDocument/2006/relationships/hyperlink" Target="https://dataspace.copernicus.eu/node/2602" TargetMode="External"/><Relationship Id="rId9" Type="http://schemas.openxmlformats.org/officeDocument/2006/relationships/hyperlink" Target="https://sentinel.esa.int/web/sentinel/missions/sentinel-2/observation-scenario" TargetMode="External"/><Relationship Id="rId10" Type="http://schemas.openxmlformats.org/officeDocument/2006/relationships/hyperlink" Target="https://asf.alaska.edu/notices/sentinel-1d-data-are-available-for-download-at-asf-daac/" TargetMode="External"/><Relationship Id="rId11" Type="http://schemas.openxmlformats.org/officeDocument/2006/relationships/hyperlink" Target="https://dataspace.copernicus.eu/node/3176" TargetMode="External"/><Relationship Id="rId12" Type="http://schemas.openxmlformats.org/officeDocument/2006/relationships/hyperlink" Target="https://dataspace.copernicus.eu/node/3911" TargetMode="External"/><Relationship Id="rId13" Type="http://schemas.openxmlformats.org/officeDocument/2006/relationships/hyperlink" Target="https://gohugo.io/content-management/taxonomies/" TargetMode="External"/><Relationship Id="rId14" Type="http://schemas.openxmlformats.org/officeDocument/2006/relationships/hyperlink" Target="https://www.openstreetmap.org/" TargetMode="External"/><Relationship Id="rId15" Type="http://schemas.openxmlformats.org/officeDocument/2006/relationships/hyperlink" Target="https://ourairports.com/data/" TargetMode="External"/><Relationship Id="rId16" Type="http://schemas.openxmlformats.org/officeDocument/2006/relationships/hyperlink" Target="https://storymaps.arcgis.com/stories/6d9825cbafcd4cbf91cb6ce80d9e3f0f" TargetMode="External"/><Relationship Id="rId17" Type="http://schemas.openxmlformats.org/officeDocument/2006/relationships/hyperlink" Target="https://cna.org/reports/2021/08/russian-forces-in-the-southern-military-district" TargetMode="External"/><Relationship Id="rId18" Type="http://schemas.openxmlformats.org/officeDocument/2006/relationships/hyperlink" Target="https://irp.fas.org/world/russia/tradoc-refguide.pdf" TargetMode="External"/><Relationship Id="rId19" Type="http://schemas.openxmlformats.org/officeDocument/2006/relationships/hyperlink" Target="https://fas.org/publication/nuclear-notebook-russia-2025/" TargetMode="External"/><Relationship Id="rId20" Type="http://schemas.openxmlformats.org/officeDocument/2006/relationships/hyperlink" Target="https://www.globalmilitary.net/airbases/country/rus/" TargetMode="External"/><Relationship Id="rId21" Type="http://schemas.openxmlformats.org/officeDocument/2006/relationships/hyperlink" Target="https://www.globalsecurity.org/military/world/russia/army-orbat.htm" TargetMode="External"/><Relationship Id="rId22" Type="http://schemas.openxmlformats.org/officeDocument/2006/relationships/hyperlink" Target="https://developers.googleblog.com/colab-is-now-part-of-your-google-ai-plan/" TargetMode="External"/><Relationship Id="rId23" Type="http://schemas.openxmlformats.org/officeDocument/2006/relationships/hyperlink" Target="https://research.google.com/colaboratory/faq.html" TargetMode="External"/><Relationship Id="rId24" Type="http://schemas.openxmlformats.org/officeDocument/2006/relationships/hyperlink" Target="https://www.techradar.com/ai-platforms-assistants/google-has-doubled-its-storage-allowance-for-its-ai-pro-plan-and-its-just-one-upped-chatgpt-heres-how-they-compare" TargetMode="External"/><Relationship Id="rId25" Type="http://schemas.openxmlformats.org/officeDocument/2006/relationships/hyperlink" Target="https://docs.github.com/en/pages/getting-started-with-github-pages/github-pages-limits" TargetMode="External"/><Relationship Id="rId26" Type="http://schemas.openxmlformats.org/officeDocument/2006/relationships/hyperlink" Target="https://www.globalmilitary.net/naval_bases/country/rus/" TargetMode="External"/><Relationship Id="rId27" Type="http://schemas.openxmlformats.org/officeDocument/2006/relationships/hyperlink" Target="https://hackers-arise.com/open-source-intelligence-osint-ukrainian-hacktivists-publish-massive-database-of-russian-defense-facilities-and-employee-data/" TargetMode="External"/><Relationship Id="rId28" Type="http://schemas.openxmlformats.org/officeDocument/2006/relationships/header" Target="head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AllYourBase Build Plan</dc:title>
  <dc:description>Updated from the supplied 12 October 2026 design; verified implementation status and owner-approved Russian pilot.</dc:description>
  <cp:revision>42</cp:revision>
  <dc:subject>Implementation progress and ordered roadmap as of 14 October 2026</dc:subject>
</cp:coreProperties>
</file>