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40" w:lineRule="auto"/>
        <w:rPr>
          <w:rFonts w:ascii="Microsoft Yahei" w:cs="Microsoft Yahei" w:eastAsia="Microsoft Yahei" w:hAnsi="Microsoft Yahei"/>
          <w:b w:val="1"/>
          <w:color w:val="262626"/>
          <w:sz w:val="36"/>
          <w:szCs w:val="36"/>
        </w:rPr>
      </w:pPr>
      <w:bookmarkStart w:colFirst="0" w:colLast="0" w:name="_fh80f2namfep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36"/>
          <w:szCs w:val="36"/>
          <w:rtl w:val="0"/>
        </w:rPr>
        <w:t xml:space="preserve">LibertyCoin Smart Contract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40" w:lineRule="auto"/>
        <w:rPr/>
      </w:pPr>
      <w:r w:rsidDel="00000000" w:rsidR="00000000" w:rsidRPr="00000000">
        <w:rPr>
          <w:rtl w:val="0"/>
        </w:rPr>
        <w:t xml:space="preserve">solidity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// SPDX-License-Identifier: MIT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pragma solidity ^0.8.0;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import "@openzeppelin/contracts/token/ERC20/ERC20.sol";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import "@openzeppelin/contracts/access/Ownable.sol";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contract LibertyCoin is ERC20, Ownable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// Initial supply of tokens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uint256 private constant INITIAL_SUPPLY = 1_000_000_000 * 10 ** 18; // 1 billion tokens with 18 decimals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uint256 public exchangeRate = 100; // Example: 1 LIBERTY = 0.01 ETH (100 LIBERTY = 1 ETH)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constructor() ERC20("LibertyCoin", "LIBERTY")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    _mint(msg.sender, INITIAL_SUPPLY);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// Function to mint new tokens (only owner can call this)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function mint(address to, uint256 amount) public onlyOwner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    _mint(to, amount);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// Function to burn tokens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function burn(uint256 amount) public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    _burn(msg.sender, amount);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// Function to exchange LibertyCoin for ETH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function exchange(uint256 amount) public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    require(amount &gt; 0, "Amount must be greater than zero");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    require(balanceOf(msg.sender) &gt;= amount, "Insufficient balance");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    uint256 ethAmount = amount / exchangeRate;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    require(address(this).balance &gt;= ethAmount, "Insufficient contract balance");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    _burn(msg.sender, amount);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    payable(msg.sender).transfer(ethAmount);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// Function to receive ETH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receive() external payable {}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spacing w:lin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4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2nhb8i22ln11" w:id="1"/>
      <w:bookmarkEnd w:id="1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Changes Explained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Initial Supply: The 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INITIAL_SUPPLY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 constant is set to 1 billion tokens (1_000_000_000).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Exchange Rate: A 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 variable 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exchangeRate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 is added to define the rate for exchanging LibertyCoins for ETH. In this example, 100 LIBERTY equals 1 ETH.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Exchange Function: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exchange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 function allows users to exchange their LibertyCoins for ETH.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It checks that the user has enough tokens and that the contract has sufficient ETH to fulfill the exchange.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The tokens are burned upon exchange, and the equivalent ETH is sent to the user's address.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Receive Function: A 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receive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 function is added to allow the contract to accept ETH.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4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grofxnx2l9t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4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n49u6ws4shzi" w:id="3"/>
      <w:bookmarkEnd w:id="3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Important Considerations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Security: This is a simplified example. In a production contract, consider implementing security measures such as rate limiting, and checks to prevent reentrancy attacks.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Liquidity: For the exchange functionality to work, the contract must have ETH in its balance. Ensure you fund the contract appropriately.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="24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Testing: Thoroughly test the contract on a testnet before deploying it on the mainnet.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18"/>
        <w:szCs w:val="18"/>
        <w:lang w:val="en"/>
      </w:rPr>
    </w:rPrDefault>
    <w:pPrDefault>
      <w:pPr>
        <w:spacing w:after="240" w:before="240" w:line="417.59999999999997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