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40"/>
          <w:szCs w:val="40"/>
        </w:rPr>
        <w:t xml:space="preserve">RAG vs. Fine-Tuning</w:t>
      </w:r>
    </w:p>
    <w:p>
      <w:pPr>
        <w:spacing w:after="320"/>
      </w:pPr>
      <w:r>
        <w:rPr>
          <w:i/>
          <w:iCs/>
          <w:color w:val="1C7293"/>
          <w:sz w:val="22"/>
          <w:szCs w:val="22"/>
        </w:rPr>
        <w:t xml:space="preserve">Choosing the right approach for grounding an LLM in your own data</w:t>
      </w:r>
    </w:p>
    <w:p>
      <w:pPr>
        <w:pStyle w:val="Heading1"/>
        <w:spacing w:after="120" w:before="280"/>
      </w:pPr>
      <w:r>
        <w:t xml:space="preserve">The Core Difference</w:t>
      </w:r>
    </w:p>
    <w:p>
      <w:pPr>
        <w:spacing w:after="160"/>
        <w:jc w:val="left"/>
      </w:pPr>
      <w:r>
        <w:rPr>
          <w:sz w:val="22"/>
          <w:szCs w:val="22"/>
        </w:rPr>
        <w:t xml:space="preserve">Both techniques solve the same underlying problem — an LLM trained on general internet text doesn't know your private documents, your company's latest data, or anything that happened after its training cutoff. Retrieval-Augmented Generation (RAG) and fine-tuning solve it in fundamentally different ways.</w:t>
      </w:r>
    </w:p>
    <w:p>
      <w:pPr>
        <w:spacing w:after="160"/>
        <w:jc w:val="left"/>
      </w:pPr>
      <w:r>
        <w:rPr>
          <w:sz w:val="22"/>
          <w:szCs w:val="22"/>
        </w:rPr>
        <w:t xml:space="preserve">RAG leaves the model completely unchanged. Instead, it adds a retrieval step before generation: relevant chunks of your documents are found at query time and handed to the model as context, alongside the question. The model then answers from what it was just given, not from memory.</w:t>
      </w:r>
    </w:p>
    <w:p>
      <w:pPr>
        <w:spacing w:after="160"/>
        <w:jc w:val="left"/>
      </w:pPr>
      <w:r>
        <w:rPr>
          <w:sz w:val="22"/>
          <w:szCs w:val="22"/>
        </w:rPr>
        <w:t xml:space="preserve">Fine-tuning changes the model itself. It continues the training process on a curated dataset, adjusting the model's internal weights so that its default behavior shifts — toward a particular writing style, a domain vocabulary, or a specific task format.</w:t>
      </w:r>
    </w:p>
    <w:p>
      <w:pPr>
        <w:pStyle w:val="Heading1"/>
        <w:spacing w:after="120" w:before="280"/>
      </w:pPr>
      <w:r>
        <w:t xml:space="preserve">When RAG Is the Right Call</w:t>
      </w:r>
    </w:p>
    <w:p>
      <w:pPr>
        <w:pStyle w:val="ListParagraph"/>
        <w:numPr>
          <w:ilvl w:val="0"/>
          <w:numId w:val="1"/>
        </w:numPr>
        <w:spacing w:after="80"/>
      </w:pPr>
      <w:r>
        <w:rPr>
          <w:sz w:val="22"/>
          <w:szCs w:val="22"/>
        </w:rPr>
        <w:t xml:space="preserve">Your source documents change frequently and you can't afford to retrain every time they do</w:t>
      </w:r>
    </w:p>
    <w:p>
      <w:pPr>
        <w:pStyle w:val="ListParagraph"/>
        <w:numPr>
          <w:ilvl w:val="0"/>
          <w:numId w:val="1"/>
        </w:numPr>
        <w:spacing w:after="80"/>
      </w:pPr>
      <w:r>
        <w:rPr>
          <w:sz w:val="22"/>
          <w:szCs w:val="22"/>
        </w:rPr>
        <w:t xml:space="preserve">You need to cite exactly where an answer came from — regulatory, legal, or trust requirements</w:t>
      </w:r>
    </w:p>
    <w:p>
      <w:pPr>
        <w:pStyle w:val="ListParagraph"/>
        <w:numPr>
          <w:ilvl w:val="0"/>
          <w:numId w:val="1"/>
        </w:numPr>
        <w:spacing w:after="80"/>
      </w:pPr>
      <w:r>
        <w:rPr>
          <w:sz w:val="22"/>
          <w:szCs w:val="22"/>
        </w:rPr>
        <w:t xml:space="preserve">Your knowledge base is larger than what fits comfortably in a fine-tuning dataset</w:t>
      </w:r>
    </w:p>
    <w:p>
      <w:pPr>
        <w:pStyle w:val="ListParagraph"/>
        <w:numPr>
          <w:ilvl w:val="0"/>
          <w:numId w:val="1"/>
        </w:numPr>
        <w:spacing w:after="80"/>
      </w:pPr>
      <w:r>
        <w:rPr>
          <w:sz w:val="22"/>
          <w:szCs w:val="22"/>
        </w:rPr>
        <w:t xml:space="preserve">You want to swap or expand your document set without touching the model</w:t>
      </w:r>
    </w:p>
    <w:p>
      <w:pPr>
        <w:pStyle w:val="Heading1"/>
        <w:spacing w:after="120" w:before="280"/>
      </w:pPr>
      <w:r>
        <w:t xml:space="preserve">When Fine-Tuning Is the Right Call</w:t>
      </w:r>
    </w:p>
    <w:p>
      <w:pPr>
        <w:pStyle w:val="ListParagraph"/>
        <w:numPr>
          <w:ilvl w:val="0"/>
          <w:numId w:val="1"/>
        </w:numPr>
        <w:spacing w:after="80"/>
      </w:pPr>
      <w:r>
        <w:rPr>
          <w:sz w:val="22"/>
          <w:szCs w:val="22"/>
        </w:rPr>
        <w:t xml:space="preserve">You need the model to consistently follow a style, tone, or output format — not just recall facts</w:t>
      </w:r>
    </w:p>
    <w:p>
      <w:pPr>
        <w:pStyle w:val="ListParagraph"/>
        <w:numPr>
          <w:ilvl w:val="0"/>
          <w:numId w:val="1"/>
        </w:numPr>
        <w:spacing w:after="80"/>
      </w:pPr>
      <w:r>
        <w:rPr>
          <w:sz w:val="22"/>
          <w:szCs w:val="22"/>
        </w:rPr>
        <w:t xml:space="preserve">The behavior you want isn't really about grounding in documents at all — it's about how the model reasons or responds</w:t>
      </w:r>
    </w:p>
    <w:p>
      <w:pPr>
        <w:pStyle w:val="ListParagraph"/>
        <w:numPr>
          <w:ilvl w:val="0"/>
          <w:numId w:val="1"/>
        </w:numPr>
        <w:spacing w:after="80"/>
      </w:pPr>
      <w:r>
        <w:rPr>
          <w:sz w:val="22"/>
          <w:szCs w:val="22"/>
        </w:rPr>
        <w:t xml:space="preserve">You have a stable, well-curated dataset that isn't going to change every week</w:t>
      </w:r>
    </w:p>
    <w:p>
      <w:pPr>
        <w:pStyle w:val="ListParagraph"/>
        <w:numPr>
          <w:ilvl w:val="0"/>
          <w:numId w:val="1"/>
        </w:numPr>
        <w:spacing w:after="80"/>
      </w:pPr>
      <w:r>
        <w:rPr>
          <w:sz w:val="22"/>
          <w:szCs w:val="22"/>
        </w:rPr>
        <w:t xml:space="preserve">Latency matters and you can't afford the extra retrieval step on every query</w:t>
      </w:r>
    </w:p>
    <w:p>
      <w:pPr>
        <w:pStyle w:val="Heading1"/>
        <w:spacing w:after="120" w:before="280"/>
      </w:pPr>
      <w: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shd w:fill="1E2761" w:val="clear"/>
            <w:tcMar>
              <w:top w:type="dxa" w:w="100"/>
              <w:left w:type="dxa" w:w="120"/>
              <w:bottom w:type="dxa" w:w="100"/>
              <w:right w:type="dxa" w:w="120"/>
            </w:tcMar>
          </w:tcPr>
          <w:p>
            <w:r>
              <w:rPr>
                <w:b/>
                <w:bCs/>
                <w:color w:val="FFFFFF"/>
                <w:sz w:val="20"/>
                <w:szCs w:val="20"/>
              </w:rPr>
              <w:t xml:space="preserve">Dimension</w:t>
            </w:r>
          </w:p>
        </w:tc>
        <w:tc>
          <w:tcPr>
            <w:tcW w:type="dxa" w:w="3480"/>
            <w:shd w:fill="1E2761" w:val="clear"/>
            <w:tcMar>
              <w:top w:type="dxa" w:w="100"/>
              <w:left w:type="dxa" w:w="120"/>
              <w:bottom w:type="dxa" w:w="100"/>
              <w:right w:type="dxa" w:w="120"/>
            </w:tcMar>
          </w:tcPr>
          <w:p>
            <w:r>
              <w:rPr>
                <w:b/>
                <w:bCs/>
                <w:color w:val="FFFFFF"/>
                <w:sz w:val="20"/>
                <w:szCs w:val="20"/>
              </w:rPr>
              <w:t xml:space="preserve">RAG</w:t>
            </w:r>
          </w:p>
        </w:tc>
        <w:tc>
          <w:tcPr>
            <w:tcW w:type="dxa" w:w="3480"/>
            <w:shd w:fill="1E2761" w:val="clear"/>
            <w:tcMar>
              <w:top w:type="dxa" w:w="100"/>
              <w:left w:type="dxa" w:w="120"/>
              <w:bottom w:type="dxa" w:w="100"/>
              <w:right w:type="dxa" w:w="120"/>
            </w:tcMar>
          </w:tcPr>
          <w:p>
            <w:r>
              <w:rPr>
                <w:b/>
                <w:bCs/>
                <w:color w:val="FFFFFF"/>
                <w:sz w:val="20"/>
                <w:szCs w:val="20"/>
              </w:rPr>
              <w:t xml:space="preserve">Fine-Tuning</w:t>
            </w:r>
          </w:p>
        </w:tc>
      </w:tr>
      <w:tr>
        <w:tc>
          <w:tcPr>
            <w:tcW w:type="dxa" w:w="2400"/>
            <w:tcMar>
              <w:top w:type="dxa" w:w="100"/>
              <w:left w:type="dxa" w:w="120"/>
              <w:bottom w:type="dxa" w:w="100"/>
              <w:right w:type="dxa" w:w="120"/>
            </w:tcMar>
          </w:tcPr>
          <w:p>
            <w:r>
              <w:rPr>
                <w:b w:val="false"/>
                <w:bCs w:val="false"/>
                <w:color w:val="1A1A1A"/>
                <w:sz w:val="20"/>
                <w:szCs w:val="20"/>
              </w:rPr>
              <w:t xml:space="preserve">What changes</w:t>
            </w:r>
          </w:p>
        </w:tc>
        <w:tc>
          <w:tcPr>
            <w:tcW w:type="dxa" w:w="3480"/>
            <w:tcMar>
              <w:top w:type="dxa" w:w="100"/>
              <w:left w:type="dxa" w:w="120"/>
              <w:bottom w:type="dxa" w:w="100"/>
              <w:right w:type="dxa" w:w="120"/>
            </w:tcMar>
          </w:tcPr>
          <w:p>
            <w:r>
              <w:rPr>
                <w:b w:val="false"/>
                <w:bCs w:val="false"/>
                <w:color w:val="1A1A1A"/>
                <w:sz w:val="20"/>
                <w:szCs w:val="20"/>
              </w:rPr>
              <w:t xml:space="preserve">Nothing about the model — you add a retrieval layer in front of it</w:t>
            </w:r>
          </w:p>
        </w:tc>
        <w:tc>
          <w:tcPr>
            <w:tcW w:type="dxa" w:w="3480"/>
            <w:tcMar>
              <w:top w:type="dxa" w:w="100"/>
              <w:left w:type="dxa" w:w="120"/>
              <w:bottom w:type="dxa" w:w="100"/>
              <w:right w:type="dxa" w:w="120"/>
            </w:tcMar>
          </w:tcPr>
          <w:p>
            <w:r>
              <w:rPr>
                <w:b w:val="false"/>
                <w:bCs w:val="false"/>
                <w:color w:val="1A1A1A"/>
                <w:sz w:val="20"/>
                <w:szCs w:val="20"/>
              </w:rPr>
              <w:t xml:space="preserve">The model's own weights, via additional training</w:t>
            </w:r>
          </w:p>
        </w:tc>
      </w:tr>
      <w:tr>
        <w:tc>
          <w:tcPr>
            <w:tcW w:type="dxa" w:w="2400"/>
            <w:tcMar>
              <w:top w:type="dxa" w:w="100"/>
              <w:left w:type="dxa" w:w="120"/>
              <w:bottom w:type="dxa" w:w="100"/>
              <w:right w:type="dxa" w:w="120"/>
            </w:tcMar>
          </w:tcPr>
          <w:p>
            <w:r>
              <w:rPr>
                <w:b w:val="false"/>
                <w:bCs w:val="false"/>
                <w:color w:val="1A1A1A"/>
                <w:sz w:val="20"/>
                <w:szCs w:val="20"/>
              </w:rPr>
              <w:t xml:space="preserve">Best for</w:t>
            </w:r>
          </w:p>
        </w:tc>
        <w:tc>
          <w:tcPr>
            <w:tcW w:type="dxa" w:w="3480"/>
            <w:tcMar>
              <w:top w:type="dxa" w:w="100"/>
              <w:left w:type="dxa" w:w="120"/>
              <w:bottom w:type="dxa" w:w="100"/>
              <w:right w:type="dxa" w:w="120"/>
            </w:tcMar>
          </w:tcPr>
          <w:p>
            <w:r>
              <w:rPr>
                <w:b w:val="false"/>
                <w:bCs w:val="false"/>
                <w:color w:val="1A1A1A"/>
                <w:sz w:val="20"/>
                <w:szCs w:val="20"/>
              </w:rPr>
              <w:t xml:space="preserve">Answering questions grounded in specific documents that change often</w:t>
            </w:r>
          </w:p>
        </w:tc>
        <w:tc>
          <w:tcPr>
            <w:tcW w:type="dxa" w:w="3480"/>
            <w:tcMar>
              <w:top w:type="dxa" w:w="100"/>
              <w:left w:type="dxa" w:w="120"/>
              <w:bottom w:type="dxa" w:w="100"/>
              <w:right w:type="dxa" w:w="120"/>
            </w:tcMar>
          </w:tcPr>
          <w:p>
            <w:r>
              <w:rPr>
                <w:b w:val="false"/>
                <w:bCs w:val="false"/>
                <w:color w:val="1A1A1A"/>
                <w:sz w:val="20"/>
                <w:szCs w:val="20"/>
              </w:rPr>
              <w:t xml:space="preserve">Teaching a consistent style, format, or domain behavior</w:t>
            </w:r>
          </w:p>
        </w:tc>
      </w:tr>
      <w:tr>
        <w:tc>
          <w:tcPr>
            <w:tcW w:type="dxa" w:w="2400"/>
            <w:tcMar>
              <w:top w:type="dxa" w:w="100"/>
              <w:left w:type="dxa" w:w="120"/>
              <w:bottom w:type="dxa" w:w="100"/>
              <w:right w:type="dxa" w:w="120"/>
            </w:tcMar>
          </w:tcPr>
          <w:p>
            <w:r>
              <w:rPr>
                <w:b w:val="false"/>
                <w:bCs w:val="false"/>
                <w:color w:val="1A1A1A"/>
                <w:sz w:val="20"/>
                <w:szCs w:val="20"/>
              </w:rPr>
              <w:t xml:space="preserve">Update cycle</w:t>
            </w:r>
          </w:p>
        </w:tc>
        <w:tc>
          <w:tcPr>
            <w:tcW w:type="dxa" w:w="3480"/>
            <w:tcMar>
              <w:top w:type="dxa" w:w="100"/>
              <w:left w:type="dxa" w:w="120"/>
              <w:bottom w:type="dxa" w:w="100"/>
              <w:right w:type="dxa" w:w="120"/>
            </w:tcMar>
          </w:tcPr>
          <w:p>
            <w:r>
              <w:rPr>
                <w:b w:val="false"/>
                <w:bCs w:val="false"/>
                <w:color w:val="1A1A1A"/>
                <w:sz w:val="20"/>
                <w:szCs w:val="20"/>
              </w:rPr>
              <w:t xml:space="preserve">Add or remove documents anytime — no retraining</w:t>
            </w:r>
          </w:p>
        </w:tc>
        <w:tc>
          <w:tcPr>
            <w:tcW w:type="dxa" w:w="3480"/>
            <w:tcMar>
              <w:top w:type="dxa" w:w="100"/>
              <w:left w:type="dxa" w:w="120"/>
              <w:bottom w:type="dxa" w:w="100"/>
              <w:right w:type="dxa" w:w="120"/>
            </w:tcMar>
          </w:tcPr>
          <w:p>
            <w:r>
              <w:rPr>
                <w:b w:val="false"/>
                <w:bCs w:val="false"/>
                <w:color w:val="1A1A1A"/>
                <w:sz w:val="20"/>
                <w:szCs w:val="20"/>
              </w:rPr>
              <w:t xml:space="preserve">Requires a new training run for every update</w:t>
            </w:r>
          </w:p>
        </w:tc>
      </w:tr>
      <w:tr>
        <w:tc>
          <w:tcPr>
            <w:tcW w:type="dxa" w:w="2400"/>
            <w:tcMar>
              <w:top w:type="dxa" w:w="100"/>
              <w:left w:type="dxa" w:w="120"/>
              <w:bottom w:type="dxa" w:w="100"/>
              <w:right w:type="dxa" w:w="120"/>
            </w:tcMar>
          </w:tcPr>
          <w:p>
            <w:r>
              <w:rPr>
                <w:b w:val="false"/>
                <w:bCs w:val="false"/>
                <w:color w:val="1A1A1A"/>
                <w:sz w:val="20"/>
                <w:szCs w:val="20"/>
              </w:rPr>
              <w:t xml:space="preserve">Cost to update</w:t>
            </w:r>
          </w:p>
        </w:tc>
        <w:tc>
          <w:tcPr>
            <w:tcW w:type="dxa" w:w="3480"/>
            <w:tcMar>
              <w:top w:type="dxa" w:w="100"/>
              <w:left w:type="dxa" w:w="120"/>
              <w:bottom w:type="dxa" w:w="100"/>
              <w:right w:type="dxa" w:w="120"/>
            </w:tcMar>
          </w:tcPr>
          <w:p>
            <w:r>
              <w:rPr>
                <w:b w:val="false"/>
                <w:bCs w:val="false"/>
                <w:color w:val="1A1A1A"/>
                <w:sz w:val="20"/>
                <w:szCs w:val="20"/>
              </w:rPr>
              <w:t xml:space="preserve">Low — re-index a folder</w:t>
            </w:r>
          </w:p>
        </w:tc>
        <w:tc>
          <w:tcPr>
            <w:tcW w:type="dxa" w:w="3480"/>
            <w:tcMar>
              <w:top w:type="dxa" w:w="100"/>
              <w:left w:type="dxa" w:w="120"/>
              <w:bottom w:type="dxa" w:w="100"/>
              <w:right w:type="dxa" w:w="120"/>
            </w:tcMar>
          </w:tcPr>
          <w:p>
            <w:r>
              <w:rPr>
                <w:b w:val="false"/>
                <w:bCs w:val="false"/>
                <w:color w:val="1A1A1A"/>
                <w:sz w:val="20"/>
                <w:szCs w:val="20"/>
              </w:rPr>
              <w:t xml:space="preserve">High — GPU time, curated training data</w:t>
            </w:r>
          </w:p>
        </w:tc>
      </w:tr>
      <w:tr>
        <w:tc>
          <w:tcPr>
            <w:tcW w:type="dxa" w:w="2400"/>
            <w:tcMar>
              <w:top w:type="dxa" w:w="100"/>
              <w:left w:type="dxa" w:w="120"/>
              <w:bottom w:type="dxa" w:w="100"/>
              <w:right w:type="dxa" w:w="120"/>
            </w:tcMar>
          </w:tcPr>
          <w:p>
            <w:r>
              <w:rPr>
                <w:b w:val="false"/>
                <w:bCs w:val="false"/>
                <w:color w:val="1A1A1A"/>
                <w:sz w:val="20"/>
                <w:szCs w:val="20"/>
              </w:rPr>
              <w:t xml:space="preserve">Traceability</w:t>
            </w:r>
          </w:p>
        </w:tc>
        <w:tc>
          <w:tcPr>
            <w:tcW w:type="dxa" w:w="3480"/>
            <w:tcMar>
              <w:top w:type="dxa" w:w="100"/>
              <w:left w:type="dxa" w:w="120"/>
              <w:bottom w:type="dxa" w:w="100"/>
              <w:right w:type="dxa" w:w="120"/>
            </w:tcMar>
          </w:tcPr>
          <w:p>
            <w:r>
              <w:rPr>
                <w:b w:val="false"/>
                <w:bCs w:val="false"/>
                <w:color w:val="1A1A1A"/>
                <w:sz w:val="20"/>
                <w:szCs w:val="20"/>
              </w:rPr>
              <w:t xml:space="preserve">High — answers can cite the exact source chunk</w:t>
            </w:r>
          </w:p>
        </w:tc>
        <w:tc>
          <w:tcPr>
            <w:tcW w:type="dxa" w:w="3480"/>
            <w:tcMar>
              <w:top w:type="dxa" w:w="100"/>
              <w:left w:type="dxa" w:w="120"/>
              <w:bottom w:type="dxa" w:w="100"/>
              <w:right w:type="dxa" w:w="120"/>
            </w:tcMar>
          </w:tcPr>
          <w:p>
            <w:r>
              <w:rPr>
                <w:b w:val="false"/>
                <w:bCs w:val="false"/>
                <w:color w:val="1A1A1A"/>
                <w:sz w:val="20"/>
                <w:szCs w:val="20"/>
              </w:rPr>
              <w:t xml:space="preserve">Low — no way to point to "why" the model said something</w:t>
            </w:r>
          </w:p>
        </w:tc>
      </w:tr>
      <w:tr>
        <w:tc>
          <w:tcPr>
            <w:tcW w:type="dxa" w:w="2400"/>
            <w:tcMar>
              <w:top w:type="dxa" w:w="100"/>
              <w:left w:type="dxa" w:w="120"/>
              <w:bottom w:type="dxa" w:w="100"/>
              <w:right w:type="dxa" w:w="120"/>
            </w:tcMar>
          </w:tcPr>
          <w:p>
            <w:r>
              <w:rPr>
                <w:b w:val="false"/>
                <w:bCs w:val="false"/>
                <w:color w:val="1A1A1A"/>
                <w:sz w:val="20"/>
                <w:szCs w:val="20"/>
              </w:rPr>
              <w:t xml:space="preserve">Hallucination risk</w:t>
            </w:r>
          </w:p>
        </w:tc>
        <w:tc>
          <w:tcPr>
            <w:tcW w:type="dxa" w:w="3480"/>
            <w:tcMar>
              <w:top w:type="dxa" w:w="100"/>
              <w:left w:type="dxa" w:w="120"/>
              <w:bottom w:type="dxa" w:w="100"/>
              <w:right w:type="dxa" w:w="120"/>
            </w:tcMar>
          </w:tcPr>
          <w:p>
            <w:r>
              <w:rPr>
                <w:b w:val="false"/>
                <w:bCs w:val="false"/>
                <w:color w:val="1A1A1A"/>
                <w:sz w:val="20"/>
                <w:szCs w:val="20"/>
              </w:rPr>
              <w:t xml:space="preserve">Lower, if retrieval finds the right chunk — still possible if it doesn't</w:t>
            </w:r>
          </w:p>
        </w:tc>
        <w:tc>
          <w:tcPr>
            <w:tcW w:type="dxa" w:w="3480"/>
            <w:tcMar>
              <w:top w:type="dxa" w:w="100"/>
              <w:left w:type="dxa" w:w="120"/>
              <w:bottom w:type="dxa" w:w="100"/>
              <w:right w:type="dxa" w:w="120"/>
            </w:tcMar>
          </w:tcPr>
          <w:p>
            <w:r>
              <w:rPr>
                <w:b w:val="false"/>
                <w:bCs w:val="false"/>
                <w:color w:val="1A1A1A"/>
                <w:sz w:val="20"/>
                <w:szCs w:val="20"/>
              </w:rPr>
              <w:t xml:space="preserve">Model may still hallucinate confidently on anything outside training data</w:t>
            </w:r>
          </w:p>
        </w:tc>
      </w:tr>
      <w:tr>
        <w:tc>
          <w:tcPr>
            <w:tcW w:type="dxa" w:w="2400"/>
            <w:tcMar>
              <w:top w:type="dxa" w:w="100"/>
              <w:left w:type="dxa" w:w="120"/>
              <w:bottom w:type="dxa" w:w="100"/>
              <w:right w:type="dxa" w:w="120"/>
            </w:tcMar>
          </w:tcPr>
          <w:p>
            <w:r>
              <w:rPr>
                <w:b w:val="false"/>
                <w:bCs w:val="false"/>
                <w:color w:val="1A1A1A"/>
                <w:sz w:val="20"/>
                <w:szCs w:val="20"/>
              </w:rPr>
              <w:t xml:space="preserve">Typical failure mode</w:t>
            </w:r>
          </w:p>
        </w:tc>
        <w:tc>
          <w:tcPr>
            <w:tcW w:type="dxa" w:w="3480"/>
            <w:tcMar>
              <w:top w:type="dxa" w:w="100"/>
              <w:left w:type="dxa" w:w="120"/>
              <w:bottom w:type="dxa" w:w="100"/>
              <w:right w:type="dxa" w:w="120"/>
            </w:tcMar>
          </w:tcPr>
          <w:p>
            <w:r>
              <w:rPr>
                <w:b w:val="false"/>
                <w:bCs w:val="false"/>
                <w:color w:val="1A1A1A"/>
                <w:sz w:val="20"/>
                <w:szCs w:val="20"/>
              </w:rPr>
              <w:t xml:space="preserve">Wrong or missing chunk retrieved</w:t>
            </w:r>
          </w:p>
        </w:tc>
        <w:tc>
          <w:tcPr>
            <w:tcW w:type="dxa" w:w="3480"/>
            <w:tcMar>
              <w:top w:type="dxa" w:w="100"/>
              <w:left w:type="dxa" w:w="120"/>
              <w:bottom w:type="dxa" w:w="100"/>
              <w:right w:type="dxa" w:w="120"/>
            </w:tcMar>
          </w:tcPr>
          <w:p>
            <w:r>
              <w:rPr>
                <w:b w:val="false"/>
                <w:bCs w:val="false"/>
                <w:color w:val="1A1A1A"/>
                <w:sz w:val="20"/>
                <w:szCs w:val="20"/>
              </w:rPr>
              <w:t xml:space="preserve">Catastrophic forgetting of prior capabilities; overfitting to training set</w:t>
            </w:r>
          </w:p>
        </w:tc>
      </w:tr>
    </w:tbl>
    <w:p>
      <w:pPr>
        <w:spacing w:before="240"/>
      </w:pPr>
    </w:p>
    <w:p>
      <w:pPr>
        <w:pStyle w:val="Heading1"/>
        <w:spacing w:after="120" w:before="280"/>
      </w:pPr>
      <w:r>
        <w:t xml:space="preserve">Why local-ai-stack Uses RAG</w:t>
      </w:r>
    </w:p>
    <w:p>
      <w:pPr>
        <w:spacing w:after="160"/>
        <w:jc w:val="left"/>
      </w:pPr>
      <w:r>
        <w:rPr>
          <w:sz w:val="22"/>
          <w:szCs w:val="22"/>
        </w:rPr>
        <w:t xml:space="preserve">This project's Phase 2 architecture is retrieval-first by design, not by default. The corpus is expected to change — nutrition documents in the initial build, swapped for an AI/agentic-AI corpus in the current phase, and likely to change again as the portfolio narrative evolves. Fine-tuning a model every time the underlying document set changes would mean a full retraining cycle per swap; RAG means deleting a vector index and re-running an ingestion script.</w:t>
      </w:r>
    </w:p>
    <w:p>
      <w:pPr>
        <w:spacing w:after="160"/>
        <w:jc w:val="left"/>
      </w:pPr>
      <w:r>
        <w:rPr>
          <w:sz w:val="22"/>
          <w:szCs w:val="22"/>
        </w:rPr>
        <w:t xml:space="preserve">Citation enforcement was also a hard requirement (see FR-2.10 and FR-2.11 in the Phase 2 PRD) — every claim in a response has to trace back to a specific chunk ID that can be verified. That's a natural fit for RAG, where the retrieved chunk is right there to point to. It's a much harder property to guarantee from a fine-tuned model, which has no built-in notion of "where did this fact come from."</w:t>
      </w:r>
    </w:p>
    <w:p>
      <w:pPr>
        <w:spacing w:after="160"/>
        <w:jc w:val="left"/>
      </w:pPr>
      <w:r>
        <w:rPr>
          <w:sz w:val="22"/>
          <w:szCs w:val="22"/>
        </w:rPr>
        <w:t xml:space="preserve">Fine-tuning isn't off the table for this project — Phase 5 introduces LoRA and DPO fine-tuning specifically. But it's scoped to teaching behavior (following the citation format consistently, adapting response style) rather than teaching facts. The facts still come from retrieval.</w:t>
      </w:r>
    </w:p>
    <w:p>
      <w:pPr>
        <w:spacing w:before="200"/>
      </w:pPr>
    </w:p>
    <w:p>
      <w:r>
        <w:rPr>
          <w:i/>
          <w:iCs/>
          <w:color w:val="64748B"/>
          <w:sz w:val="16"/>
          <w:szCs w:val="16"/>
        </w:rPr>
        <w:t xml:space="preserve">Prepared for local-ai-stack (github.com/SavyOnAI/local-ai-stack), Phase 2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4748B"/>
        <w:sz w:val="16"/>
        <w:szCs w:val="16"/>
      </w:rPr>
      <w:t xml:space="preserve">local-ai-stack — Internal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2026-07-02T03:15:29.394Z</dcterms:created>
  <dcterms:modified xsi:type="dcterms:W3CDTF">2026-07-02T03:15:29.394Z</dcterms:modified>
</cp:coreProperties>
</file>

<file path=docProps/custom.xml><?xml version="1.0" encoding="utf-8"?>
<Properties xmlns="http://schemas.openxmlformats.org/officeDocument/2006/custom-properties" xmlns:vt="http://schemas.openxmlformats.org/officeDocument/2006/docPropsVTypes"/>
</file>