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Exception Handling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Saw Htet Arkar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6702721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throw i (int): handled in fun2() by catch(int).</w:t>
        <w:br w:type="textWrapping"/>
        <w:t xml:space="preserve">• throw f (float): handled in fun1() by catch(float).</w:t>
        <w:br w:type="textWrapping"/>
        <w:t xml:space="preserve">• throw j (int): handled in inner catch(int) in fun2().</w:t>
        <w:br w:type="textWrapping"/>
        <w:t xml:space="preserve">• throw g (float): handled in outer catch(float) in fun2().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C++ and Java both support exception handling using try-catch blocks. However, Java includes checked exceptions that must be handled, while C++ does not enforce this. Java also provides a finally block, whereas C++ relies on destructors. Java is generally safer, while C++ is more flexible.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termination model stops execution and transfers control to a handler, making it safer and easier to manage. The resumption model allows execution to continue after handling an exception, providing flexibility but increasing complexity.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Passing error-handling procedures as parameters leads to complex and hard-to-maintain code. It mixes logic with error handling and lacks automatic propagation, making it inefficient for large systems.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