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B961" w14:textId="77777777" w:rsidR="006860AF" w:rsidRDefault="0055458A">
      <w:pPr>
        <w:spacing w:after="60"/>
      </w:pPr>
      <w:r>
        <w:rPr>
          <w:color w:val="555555"/>
        </w:rPr>
        <w:t>Department of Clinical Genetics, Hyogo Medical University Hospital</w:t>
      </w:r>
    </w:p>
    <w:p w14:paraId="0AB58101" w14:textId="77777777" w:rsidR="006860AF" w:rsidRDefault="0055458A">
      <w:pPr>
        <w:spacing w:after="120"/>
      </w:pPr>
      <w:r>
        <w:rPr>
          <w:b/>
          <w:bCs/>
          <w:sz w:val="40"/>
          <w:szCs w:val="40"/>
        </w:rPr>
        <w:t>Missense Variant Evaluation Report</w:t>
      </w:r>
    </w:p>
    <w:p w14:paraId="7022B0C4" w14:textId="77777777" w:rsidR="006860AF" w:rsidRDefault="0055458A">
      <w:pPr>
        <w:spacing w:after="240"/>
      </w:pPr>
      <w:r>
        <w:rPr>
          <w:b/>
          <w:bCs/>
          <w:sz w:val="30"/>
          <w:szCs w:val="30"/>
        </w:rPr>
        <w:t>Requirements and Design Overview</w:t>
      </w:r>
    </w:p>
    <w:p w14:paraId="7DE45240" w14:textId="77777777" w:rsidR="006860AF" w:rsidRDefault="0055458A">
      <w:pPr>
        <w:spacing w:after="100"/>
      </w:pPr>
      <w:r>
        <w:rPr>
          <w:color w:val="555555"/>
          <w:sz w:val="18"/>
          <w:szCs w:val="18"/>
        </w:rPr>
        <w:t>Version 1.0, 2026-09-10. Prepared by the Department of Clinical Genetics, Hyogo Medical University Hospital, for the FuncVEP authors (Kerem Çil, Barış Kayaalp and Tayfun Özçelik, Bilkent University).</w:t>
      </w:r>
    </w:p>
    <w:p w14:paraId="3B34559D" w14:textId="77777777" w:rsidR="006860AF" w:rsidRDefault="006860AF">
      <w:pPr>
        <w:spacing w:after="120"/>
      </w:pPr>
    </w:p>
    <w:sdt>
      <w:sdtPr>
        <w:alias w:val="Contents"/>
        <w:id w:val="-783339688"/>
      </w:sdtPr>
      <w:sdtEndPr/>
      <w:sdtContent>
        <w:p w14:paraId="621B0C9D" w14:textId="52AD3487" w:rsidR="00D44CA0" w:rsidRDefault="0055458A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950207" w:history="1">
            <w:r w:rsidR="00D44CA0" w:rsidRPr="00D165C2">
              <w:rPr>
                <w:rStyle w:val="a5"/>
                <w:noProof/>
              </w:rPr>
              <w:t>1. Purpose</w:t>
            </w:r>
            <w:r w:rsidR="00D44CA0">
              <w:rPr>
                <w:noProof/>
              </w:rPr>
              <w:tab/>
            </w:r>
            <w:r w:rsidR="00D44CA0">
              <w:rPr>
                <w:noProof/>
              </w:rPr>
              <w:fldChar w:fldCharType="begin"/>
            </w:r>
            <w:r w:rsidR="00D44CA0">
              <w:rPr>
                <w:noProof/>
              </w:rPr>
              <w:instrText xml:space="preserve"> PAGEREF _Toc239950207 \h </w:instrText>
            </w:r>
            <w:r w:rsidR="00D44CA0">
              <w:rPr>
                <w:noProof/>
              </w:rPr>
            </w:r>
            <w:r w:rsidR="00D44CA0">
              <w:rPr>
                <w:noProof/>
              </w:rPr>
              <w:fldChar w:fldCharType="separate"/>
            </w:r>
            <w:r w:rsidR="00D44CA0">
              <w:rPr>
                <w:noProof/>
              </w:rPr>
              <w:t>2</w:t>
            </w:r>
            <w:r w:rsidR="00D44CA0">
              <w:rPr>
                <w:noProof/>
              </w:rPr>
              <w:fldChar w:fldCharType="end"/>
            </w:r>
          </w:hyperlink>
        </w:p>
        <w:p w14:paraId="42BFD3CD" w14:textId="76DFCD00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08" w:history="1">
            <w:r w:rsidRPr="00D165C2">
              <w:rPr>
                <w:rStyle w:val="a5"/>
                <w:noProof/>
              </w:rPr>
              <w:t>2. Scope and non-goals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42D4779" w14:textId="5E7181FC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09" w:history="1">
            <w:r w:rsidRPr="00D165C2">
              <w:rPr>
                <w:rStyle w:val="a5"/>
                <w:noProof/>
              </w:rPr>
              <w:t>3. Users and operating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81BCB4A" w14:textId="35C886DE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10" w:history="1">
            <w:r w:rsidRPr="00D165C2">
              <w:rPr>
                <w:rStyle w:val="a5"/>
                <w:noProof/>
              </w:rPr>
              <w:t>4. Input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D52CA06" w14:textId="13042577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11" w:history="1">
            <w:r w:rsidRPr="00D165C2">
              <w:rPr>
                <w:rStyle w:val="a5"/>
                <w:noProof/>
              </w:rPr>
              <w:t>5.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1D107C" w14:textId="15E4A7B9" w:rsidR="00D44CA0" w:rsidRDefault="00D44CA0">
          <w:pPr>
            <w:pStyle w:val="20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12" w:history="1">
            <w:r w:rsidRPr="00D165C2">
              <w:rPr>
                <w:rStyle w:val="a5"/>
                <w:noProof/>
              </w:rPr>
              <w:t>5.1 Local index (offline)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0E49C0" w14:textId="120C621C" w:rsidR="00D44CA0" w:rsidRDefault="00D44CA0">
          <w:pPr>
            <w:pStyle w:val="20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13" w:history="1">
            <w:r w:rsidRPr="00D165C2">
              <w:rPr>
                <w:rStyle w:val="a5"/>
                <w:noProof/>
              </w:rPr>
              <w:t>5.2 Public API lookups (online, switchable)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302963" w14:textId="63847E54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14" w:history="1">
            <w:r w:rsidRPr="00D165C2">
              <w:rPr>
                <w:rStyle w:val="a5"/>
                <w:noProof/>
              </w:rPr>
              <w:t>6. Processing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B07E41" w14:textId="34172233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15" w:history="1">
            <w:r w:rsidRPr="00D165C2">
              <w:rPr>
                <w:rStyle w:val="a5"/>
                <w:noProof/>
              </w:rPr>
              <w:t>7. Mapping of evidence to ACMG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E83B70" w14:textId="5392EAAF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16" w:history="1">
            <w:r w:rsidRPr="00D165C2">
              <w:rPr>
                <w:rStyle w:val="a5"/>
                <w:noProof/>
              </w:rPr>
              <w:t>8. Variants without a FuncVEP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3CF787" w14:textId="70535424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17" w:history="1">
            <w:r w:rsidRPr="00D165C2">
              <w:rPr>
                <w:rStyle w:val="a5"/>
                <w:noProof/>
              </w:rPr>
              <w:t>9. Report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F0C697" w14:textId="0EF2F85F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18" w:history="1">
            <w:r w:rsidRPr="00D165C2">
              <w:rPr>
                <w:rStyle w:val="a5"/>
                <w:noProof/>
              </w:rPr>
              <w:t>10.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FF72CF" w14:textId="19C82148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19" w:history="1">
            <w:r w:rsidRPr="00D165C2">
              <w:rPr>
                <w:rStyle w:val="a5"/>
                <w:noProof/>
              </w:rPr>
              <w:t>11. Interpretation limits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E454E0" w14:textId="1015E3DC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20" w:history="1">
            <w:r w:rsidRPr="00D165C2">
              <w:rPr>
                <w:rStyle w:val="a5"/>
                <w:noProof/>
              </w:rPr>
              <w:t>12. Licensing and data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9901F3" w14:textId="681ADD64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21" w:history="1">
            <w:r w:rsidRPr="00D165C2">
              <w:rPr>
                <w:rStyle w:val="a5"/>
                <w:noProof/>
              </w:rPr>
              <w:t>13. Acknowledgements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EC8266" w14:textId="0C459A03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22" w:history="1">
            <w:r w:rsidRPr="00D165C2">
              <w:rPr>
                <w:rStyle w:val="a5"/>
                <w:noProof/>
              </w:rPr>
              <w:t>Appendix A. PP3/BP4 thresholds (Supplementary Table 13)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534298" w14:textId="4CA632B4" w:rsidR="00D44CA0" w:rsidRDefault="00D44CA0">
          <w:pPr>
            <w:pStyle w:val="11"/>
            <w:tabs>
              <w:tab w:val="right" w:leader="dot" w:pos="9296"/>
            </w:tabs>
            <w:rPr>
              <w:rFonts w:asciiTheme="minorHAnsi" w:hAnsiTheme="minorHAnsi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anchor="_Toc239950223" w:history="1">
            <w:r w:rsidRPr="00D165C2">
              <w:rPr>
                <w:rStyle w:val="a5"/>
                <w:noProof/>
              </w:rPr>
              <w:t>Appendix B.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_Toc239950223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05E86D" w14:textId="6D2E9C41" w:rsidR="006860AF" w:rsidRDefault="0055458A">
          <w:r>
            <w:fldChar w:fldCharType="end"/>
          </w:r>
        </w:p>
      </w:sdtContent>
    </w:sdt>
    <w:p w14:paraId="31B27EC8" w14:textId="77777777" w:rsidR="006860AF" w:rsidRDefault="0055458A">
      <w:r>
        <w:br w:type="page"/>
      </w:r>
    </w:p>
    <w:p w14:paraId="27B688B0" w14:textId="77777777" w:rsidR="006860AF" w:rsidRDefault="0055458A">
      <w:pPr>
        <w:pStyle w:val="1"/>
      </w:pPr>
      <w:bookmarkStart w:id="0" w:name="_Toc239950207"/>
      <w:r>
        <w:lastRenderedPageBreak/>
        <w:t>1. Purpose</w:t>
      </w:r>
      <w:bookmarkEnd w:id="0"/>
    </w:p>
    <w:p w14:paraId="20A68D19" w14:textId="77777777" w:rsidR="006860AF" w:rsidRDefault="0055458A">
      <w:pPr>
        <w:spacing w:after="120" w:line="300" w:lineRule="auto"/>
      </w:pPr>
      <w:r>
        <w:t>The tool takes a missense variant as written on a laboratory report and assembles, on a single report, the evidence that helps a clinician judge whether the variant is pathogenic or benign. It does not make that judgement. It organises evidence along the ACMG/AMP variant-interpretation framework so that clinical geneticists can interpret it.</w:t>
      </w:r>
    </w:p>
    <w:p w14:paraId="307FC4A9" w14:textId="77777777" w:rsidR="006860AF" w:rsidRDefault="0055458A">
      <w:pPr>
        <w:spacing w:after="120" w:line="300" w:lineRule="auto"/>
      </w:pPr>
      <w:r>
        <w:t>The central evidence is the FuncVEP prediction (Kayaalp et al., Nature Genetics 2026), a predictor trained on functional-assay evidence that estimates the effect of the substitution on protein function (damaging / neutral). The tool places this prediction alongside other evidence: population frequency, existing clinical classifications, measured functional-assay results, splicing effects and the gene–disease relationship.</w:t>
      </w:r>
    </w:p>
    <w:p w14:paraId="30A8534C" w14:textId="77777777" w:rsidR="006860AF" w:rsidRDefault="0055458A">
      <w:pPr>
        <w:pStyle w:val="1"/>
      </w:pPr>
      <w:bookmarkStart w:id="1" w:name="_Toc239950208"/>
      <w:r>
        <w:t>2. Scope and non-goals</w:t>
      </w:r>
      <w:bookmarkEnd w:id="1"/>
    </w:p>
    <w:p w14:paraId="44906486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Single-nucleotide missense variants only. Frameshift, nonsense, indel and splice-site variants are out of scope.</w:t>
      </w:r>
    </w:p>
    <w:p w14:paraId="726D4151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GRCh38 coordinates; MANE Select transcripts as the reference.</w:t>
      </w:r>
    </w:p>
    <w:p w14:paraId="646FBC0E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FuncVEP is never recomputed. The tool only looks up the released precomputed table (about 73 million variants).</w:t>
      </w:r>
    </w:p>
    <w:p w14:paraId="2D8E5A33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No final pathogenic/benign call is made. The report is an aid and cannot be used on its own as the basis for a clinical decision.</w:t>
      </w:r>
    </w:p>
    <w:p w14:paraId="49272CB2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Non-commercial in-house use only (Department of Clinical Genetics, Hyogo Medical University Hospital). Neither the tool nor the index is redistributed, in accordance with the PolyForm Strict 1.0.0 licence of FuncVEP.</w:t>
      </w:r>
    </w:p>
    <w:p w14:paraId="7EEA7E27" w14:textId="77777777" w:rsidR="006860AF" w:rsidRDefault="0055458A">
      <w:pPr>
        <w:pStyle w:val="1"/>
      </w:pPr>
      <w:bookmarkStart w:id="2" w:name="_Toc239950209"/>
      <w:r>
        <w:t>3. Users and operating environment</w:t>
      </w:r>
      <w:bookmarkEnd w:id="2"/>
    </w:p>
    <w:p w14:paraId="04F6A80A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Users: physicians and genetic counsellors of the department, who transcribe the variant from the laboratory report.</w:t>
      </w:r>
    </w:p>
    <w:p w14:paraId="05994381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Environment: one Windows PC in the hospital. A local web application (Python, Streamlit) used from a browser; the reference index resides on a local drive.</w:t>
      </w:r>
    </w:p>
    <w:p w14:paraId="63BF645B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Connectivity: index lookups are fully offline. Some information (population frequency and others, section 5) is queried from public APIs; only variant coordinates and the like are sent, never patient data. The lookups can be switched off for offline use.</w:t>
      </w:r>
    </w:p>
    <w:p w14:paraId="4079F59D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Languages: the screen and the PDF can be switched between Japanese and English.</w:t>
      </w:r>
    </w:p>
    <w:p w14:paraId="21D059DC" w14:textId="77777777" w:rsidR="006860AF" w:rsidRDefault="0055458A">
      <w:pPr>
        <w:pStyle w:val="1"/>
      </w:pPr>
      <w:bookmarkStart w:id="3" w:name="_Toc239950210"/>
      <w:r>
        <w:t>4. Input</w:t>
      </w:r>
      <w:bookmarkEnd w:id="3"/>
    </w:p>
    <w:p w14:paraId="51140DE2" w14:textId="77777777" w:rsidR="006860AF" w:rsidRDefault="0055458A">
      <w:pPr>
        <w:spacing w:after="120" w:line="300" w:lineRule="auto"/>
      </w:pPr>
      <w:r>
        <w:t>Because laboratory reports vary in notation, the parser does not match fixed patterns. It extracts the components present in the input — gene symbol, transcript accession, c. notation and p. notation — and combines whatever is available. Differences in parentheses, colons, spaces and full-width characters are tolerated.</w:t>
      </w:r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5416"/>
      </w:tblGrid>
      <w:tr w:rsidR="006860AF" w14:paraId="799B5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58374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Example input</w:t>
            </w:r>
          </w:p>
        </w:tc>
        <w:tc>
          <w:tcPr>
            <w:tcW w:w="5416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09F48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Interpretation</w:t>
            </w:r>
          </w:p>
        </w:tc>
      </w:tr>
      <w:tr w:rsidR="006860AF" w14:paraId="5EB1EDE1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91A64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BRCA1 p.Arg1699Trp / BRCA1 R1699W / BRCA1:p.R1699W</w:t>
            </w:r>
          </w:p>
        </w:tc>
        <w:tc>
          <w:tcPr>
            <w:tcW w:w="54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646A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Gene symbol and amino-acid substitution, resolved as a residue on the MANE transcript</w:t>
            </w:r>
          </w:p>
        </w:tc>
      </w:tr>
      <w:tr w:rsidR="006860AF" w14:paraId="692DB36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FAFD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NM_007294.4:c.5095C&gt;T / NM_007294.4(BRCA1):c.5095C&gt;T</w:t>
            </w:r>
          </w:p>
        </w:tc>
        <w:tc>
          <w:tcPr>
            <w:tcW w:w="54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8F86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Transcript accession and c. notation; translated on the CDS to obtain the substitution</w:t>
            </w:r>
          </w:p>
        </w:tc>
      </w:tr>
      <w:tr w:rsidR="006860AF" w14:paraId="6C26455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91EC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SDHB c.574T&gt;C (p.Cys192Arg) / SDHB p.Cys192Arg (c.574T&gt;C)</w:t>
            </w:r>
          </w:p>
        </w:tc>
        <w:tc>
          <w:tcPr>
            <w:tcW w:w="54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DE13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Both notations; the c. notation is used and its translation is checked against the p. notation</w:t>
            </w:r>
          </w:p>
        </w:tc>
      </w:tr>
      <w:tr w:rsidR="006860AF" w14:paraId="1C03044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FCBB7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SDHB c.574T&gt;C</w:t>
            </w:r>
          </w:p>
        </w:tc>
        <w:tc>
          <w:tcPr>
            <w:tcW w:w="54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6F78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c. notation without a transcript; applied to the gene's MANE Select, with a note in the report</w:t>
            </w:r>
          </w:p>
        </w:tc>
      </w:tr>
      <w:tr w:rsidR="006860AF" w14:paraId="0548D8C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72860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SDHB(NM_003000.3):c.574T&gt;C / full-width characters</w:t>
            </w:r>
          </w:p>
        </w:tc>
        <w:tc>
          <w:tcPr>
            <w:tcW w:w="54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4C0E6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Gene with transcript in parentheses, full-width text and similar variants are handled likewise</w:t>
            </w:r>
          </w:p>
        </w:tc>
      </w:tr>
    </w:tbl>
    <w:p w14:paraId="56B00322" w14:textId="77777777" w:rsidR="006860AF" w:rsidRDefault="006860AF">
      <w:pPr>
        <w:spacing w:after="120"/>
      </w:pPr>
    </w:p>
    <w:p w14:paraId="397510D6" w14:textId="77777777" w:rsidR="006860AF" w:rsidRDefault="0055458A">
      <w:pPr>
        <w:spacing w:after="120" w:line="300" w:lineRule="auto"/>
      </w:pPr>
      <w:r>
        <w:t>Resolution rules: the c. notation takes precedence when present, because it fixes the nucleotide. A disagreement between the translated c. notation and an accompanying p. notation is flagged. When neither a transcript nor a p. notation is given, the report notes that the reference transcript was assumed. Unreadable input returns an error stating what could be recognised.</w:t>
      </w:r>
    </w:p>
    <w:p w14:paraId="5B13A148" w14:textId="77777777" w:rsidR="006860AF" w:rsidRDefault="0055458A">
      <w:pPr>
        <w:pStyle w:val="1"/>
      </w:pPr>
      <w:bookmarkStart w:id="4" w:name="_Toc239950211"/>
      <w:r>
        <w:t>5. Data sources</w:t>
      </w:r>
      <w:bookmarkEnd w:id="4"/>
    </w:p>
    <w:p w14:paraId="1B1F2232" w14:textId="77777777" w:rsidR="006860AF" w:rsidRDefault="0055458A">
      <w:pPr>
        <w:pStyle w:val="2"/>
      </w:pPr>
      <w:bookmarkStart w:id="5" w:name="_Toc239950212"/>
      <w:r>
        <w:t>5.1 Local index (offline)</w:t>
      </w:r>
      <w:bookmarkEnd w:id="5"/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8"/>
        <w:gridCol w:w="2979"/>
        <w:gridCol w:w="2979"/>
      </w:tblGrid>
      <w:tr w:rsidR="006860AF" w14:paraId="3C724D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FA63E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979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95658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Content used</w:t>
            </w:r>
          </w:p>
        </w:tc>
        <w:tc>
          <w:tcPr>
            <w:tcW w:w="2979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21BD4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Role</w:t>
            </w:r>
          </w:p>
        </w:tc>
      </w:tr>
      <w:tr w:rsidR="006860AF" w14:paraId="1FEB099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EF396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 / ClinVEP prediction table (Zenodo, 73,092,279 rows)</w:t>
            </w:r>
          </w:p>
        </w:tc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3739F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FuncVEP-CTI / CTE / SP and ClinVEP-CTI / CTE / SP scores</w:t>
            </w:r>
          </w:p>
        </w:tc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76218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Primary evidence; looked up by genomic coordinate (chr-pos-ref-alt)</w:t>
            </w:r>
          </w:p>
        </w:tc>
      </w:tr>
      <w:tr w:rsidR="006860AF" w14:paraId="798571A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AA0CC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AlphaMissense (Cheng et al. 2023)</w:t>
            </w:r>
          </w:p>
        </w:tc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77086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Score and class; residue numbering and coordinates per transcript</w:t>
            </w:r>
          </w:p>
        </w:tc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4AA4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Bridge from amino-acid substitution to genomic coordinate; comparison predictor</w:t>
            </w:r>
          </w:p>
        </w:tc>
      </w:tr>
      <w:tr w:rsidR="006860AF" w14:paraId="10363E3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7252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REVEL (Ioannidis et al. 2016)</w:t>
            </w:r>
          </w:p>
        </w:tc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86C30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Score</w:t>
            </w:r>
          </w:p>
        </w:tc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B10F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Comparison with a conventional ensemble predictor</w:t>
            </w:r>
          </w:p>
        </w:tc>
      </w:tr>
      <w:tr w:rsidR="006860AF" w14:paraId="02EFC8D2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E22E5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ClinVar variant_summary</w:t>
            </w:r>
          </w:p>
        </w:tc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D6D48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Clinical significance, review status, submitter count, conditions, VariationID</w:t>
            </w:r>
          </w:p>
        </w:tc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61E9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Existing classifications; also classifications of other variants at the same residue</w:t>
            </w:r>
          </w:p>
        </w:tc>
      </w:tr>
      <w:tr w:rsidR="006860AF" w14:paraId="64A40D5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7C47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gnomAD gene constraint</w:t>
            </w:r>
          </w:p>
        </w:tc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9724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pLI, missense z, LoF z</w:t>
            </w:r>
          </w:p>
        </w:tc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13B1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Whether the gene tolerates variation</w:t>
            </w:r>
          </w:p>
        </w:tc>
      </w:tr>
      <w:tr w:rsidR="006860AF" w14:paraId="2FC2787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16AE0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MANE (summary and CDS sequences)</w:t>
            </w:r>
          </w:p>
        </w:tc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DCEC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Gene–transcript mapping, CDS sequences</w:t>
            </w:r>
          </w:p>
        </w:tc>
        <w:tc>
          <w:tcPr>
            <w:tcW w:w="29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31D2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Transcript resolution, translation of c. notation, reference-residue check</w:t>
            </w:r>
          </w:p>
        </w:tc>
      </w:tr>
    </w:tbl>
    <w:p w14:paraId="5293A35A" w14:textId="77777777" w:rsidR="006860AF" w:rsidRDefault="006860AF">
      <w:pPr>
        <w:spacing w:after="120"/>
      </w:pPr>
    </w:p>
    <w:p w14:paraId="04EE89CB" w14:textId="77777777" w:rsidR="006860AF" w:rsidRDefault="0055458A">
      <w:pPr>
        <w:spacing w:after="120" w:line="300" w:lineRule="auto"/>
      </w:pPr>
      <w:r>
        <w:t>The index is stored as Parquet (6–8 GB) and queried with DuckDB; a lookup takes about 0.3 s per variant.</w:t>
      </w:r>
    </w:p>
    <w:p w14:paraId="4E28D8E8" w14:textId="77777777" w:rsidR="006860AF" w:rsidRDefault="0055458A">
      <w:pPr>
        <w:pStyle w:val="2"/>
      </w:pPr>
      <w:bookmarkStart w:id="6" w:name="_Toc239950213"/>
      <w:r>
        <w:t>5.2 Public API lookups (online, switchable)</w:t>
      </w:r>
      <w:bookmarkEnd w:id="6"/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7"/>
        <w:gridCol w:w="3430"/>
        <w:gridCol w:w="1805"/>
        <w:gridCol w:w="1444"/>
      </w:tblGrid>
      <w:tr w:rsidR="006860AF" w14:paraId="243DA2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623E9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343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C5D23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Retrieved</w:t>
            </w:r>
          </w:p>
        </w:tc>
        <w:tc>
          <w:tcPr>
            <w:tcW w:w="180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DEA19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Data sent</w:t>
            </w:r>
          </w:p>
        </w:tc>
        <w:tc>
          <w:tcPr>
            <w:tcW w:w="144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A8783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Cache</w:t>
            </w:r>
          </w:p>
        </w:tc>
      </w:tr>
      <w:tr w:rsidR="006860AF" w14:paraId="40C72C70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F4A90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gnomAD v4 (GraphQL API)</w:t>
            </w:r>
          </w:p>
        </w:tc>
        <w:tc>
          <w:tcPr>
            <w:tcW w:w="34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C5D90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Allele frequency, homozygote count, East Asian frequency, coverage at the position, rsID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E42D7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Chromosome, position, alleles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710A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24 h</w:t>
            </w:r>
          </w:p>
        </w:tc>
      </w:tr>
      <w:tr w:rsidR="006860AF" w14:paraId="7DFD1C9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0A6FF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TogoVar (NBDC/DBCLS, REST API)</w:t>
            </w:r>
          </w:p>
        </w:tc>
        <w:tc>
          <w:tcPr>
            <w:tcW w:w="34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3441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Japanese population frequency: ToMMo 54KJPN (mostly healthy, about 54,000 individuals) as the reference; NCBN, GEM-J WGA and JGA as supplementary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86D84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Chromosome, position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E3326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24 h</w:t>
            </w:r>
          </w:p>
        </w:tc>
      </w:tr>
      <w:tr w:rsidR="006860AF" w14:paraId="7A30E06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F646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Ensembl VEP (REST, SpliceAI plugin)</w:t>
            </w:r>
          </w:p>
        </w:tc>
        <w:tc>
          <w:tcPr>
            <w:tcW w:w="34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C04F6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Four SpliceAI delta scores and positions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70BBC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Chromosome, position, alleles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A183E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24 h</w:t>
            </w:r>
          </w:p>
        </w:tc>
      </w:tr>
      <w:tr w:rsidR="006860AF" w14:paraId="0834600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DE67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ClinGen Gene-Disease Validity</w:t>
            </w:r>
          </w:p>
        </w:tc>
        <w:tc>
          <w:tcPr>
            <w:tcW w:w="34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F90FD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Strength of gene–disease relationships, mode of inheritance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A1C5E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None (whole CSV downloaded)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F0F8C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30 days</w:t>
            </w:r>
          </w:p>
        </w:tc>
      </w:tr>
      <w:tr w:rsidR="006860AF" w14:paraId="72E6BA4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5A5A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MaveDB (API)</w:t>
            </w:r>
          </w:p>
        </w:tc>
        <w:tc>
          <w:tcPr>
            <w:tcW w:w="34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16DE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Measured scores of multiplexed functional assays and investigator-defined functional classes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14C00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Gene symbol (search)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D47C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Search 30 days; data permanent</w:t>
            </w:r>
          </w:p>
        </w:tc>
      </w:tr>
      <w:tr w:rsidR="006860AF" w14:paraId="2C39FB6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66AED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ClinVar (NCBI E-utilities)</w:t>
            </w:r>
          </w:p>
        </w:tc>
        <w:tc>
          <w:tcPr>
            <w:tcW w:w="34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0D43F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Per-condition classification, submission count and review status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B600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VariationID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00984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24 h</w:t>
            </w:r>
          </w:p>
        </w:tc>
      </w:tr>
      <w:tr w:rsidR="006860AF" w14:paraId="034A721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E47D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LitVar2 (NCBI) + PubMed</w:t>
            </w:r>
          </w:p>
        </w:tc>
        <w:tc>
          <w:tcPr>
            <w:tcW w:w="34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76131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Publications mentioning the variant (screen only, not in the PDF)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87D54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Gene symbol and substitution, rsID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CC1F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24 h</w:t>
            </w:r>
          </w:p>
        </w:tc>
      </w:tr>
    </w:tbl>
    <w:p w14:paraId="5A075696" w14:textId="77777777" w:rsidR="006860AF" w:rsidRDefault="006860AF">
      <w:pPr>
        <w:spacing w:after="120"/>
      </w:pPr>
    </w:p>
    <w:p w14:paraId="669192DB" w14:textId="77777777" w:rsidR="006860AF" w:rsidRDefault="0055458A">
      <w:pPr>
        <w:spacing w:after="120" w:line="300" w:lineRule="auto"/>
      </w:pPr>
      <w:r>
        <w:t>No patient information is transmitted. When a lookup fails, the report says so and the screen offers a manual-entry field for values printed on the laboratory report.</w:t>
      </w:r>
    </w:p>
    <w:p w14:paraId="79BBCEA5" w14:textId="77777777" w:rsidR="006860AF" w:rsidRDefault="0055458A">
      <w:pPr>
        <w:pStyle w:val="1"/>
      </w:pPr>
      <w:bookmarkStart w:id="7" w:name="_Toc239950214"/>
      <w:r>
        <w:t>6. Processing pipeline</w:t>
      </w:r>
      <w:bookmarkEnd w:id="7"/>
    </w:p>
    <w:p w14:paraId="34F39025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Parse: extract the components and decide gene, transcript, c. and p. notations (section 4).</w:t>
      </w:r>
    </w:p>
    <w:p w14:paraId="7EEDAD2F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Fix the transcript and substitution: choose the MANE transcript; translate c. notation on the CDS; for p. notation, check that the reference residue matches the CDS (handles genes whose MANE Select and MANE Plus Clinical differ in numbering).</w:t>
      </w:r>
    </w:p>
    <w:p w14:paraId="7F19EACB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Fix the genomic coordinate: use the AlphaMissense index to find chr-pos-ref-alt for the transcript, residue and substitution. All nucleotide changes producing the same substitution are kept as candidates. Transcript-version differences and isoform offsets are absorbed by a mapping table and a checked fallback path.</w:t>
      </w:r>
    </w:p>
    <w:p w14:paraId="20515E5E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Gather evidence: FuncVEP, REVEL and ClinVar by coordinate; gene constraint and MANE data by gene; other ClinVar variants at the same residue.</w:t>
      </w:r>
    </w:p>
    <w:p w14:paraId="6C9DEFEC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Online lookups: gnomAD, TogoVar, SpliceAI, ClinGen, MaveDB and ClinVar per-condition counts (skipped when offline).</w:t>
      </w:r>
    </w:p>
    <w:p w14:paraId="020A1E49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Organise evidence: map it to ACMG criteria (section 7) and summarise the predictor calls.</w:t>
      </w:r>
    </w:p>
    <w:p w14:paraId="59387936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Assemble and output: build the sections in Japanese or English, show them on screen and generate the PDF (A4, with the issuing department and page numbers).</w:t>
      </w:r>
    </w:p>
    <w:p w14:paraId="668EEA47" w14:textId="77777777" w:rsidR="006860AF" w:rsidRDefault="0055458A">
      <w:pPr>
        <w:pStyle w:val="1"/>
      </w:pPr>
      <w:bookmarkStart w:id="8" w:name="_Toc239950215"/>
      <w:r>
        <w:t>7. Mapping of evidence to ACMG criteria</w:t>
      </w:r>
      <w:bookmarkEnd w:id="8"/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7"/>
        <w:gridCol w:w="1444"/>
        <w:gridCol w:w="1805"/>
        <w:gridCol w:w="3610"/>
      </w:tblGrid>
      <w:tr w:rsidR="006860AF" w14:paraId="78ACD5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E9896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Evidence</w:t>
            </w:r>
          </w:p>
        </w:tc>
        <w:tc>
          <w:tcPr>
            <w:tcW w:w="144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07076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180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71AA9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Criterion</w:t>
            </w:r>
          </w:p>
        </w:tc>
        <w:tc>
          <w:tcPr>
            <w:tcW w:w="361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69D4A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Presentation</w:t>
            </w:r>
          </w:p>
        </w:tc>
      </w:tr>
      <w:tr w:rsidR="006860AF" w14:paraId="5D96214A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41DD4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FuncVEP-CTI / CTE / SP scores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9129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 table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A72F6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PP3 / BP4 (computational)</w:t>
            </w:r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90DE0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Score, damaging / neutral call and evidence tier (Supporting / Moderate / Intermediate / Strong) using the authors' Supplementary Table 13 thresholds (Appendix A)</w:t>
            </w:r>
          </w:p>
        </w:tc>
      </w:tr>
      <w:tr w:rsidR="006860AF" w14:paraId="50C48E71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808B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AlphaMissense, REVEL, ClinVEP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2755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Local indexes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BB0C4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Reference</w:t>
            </w:r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9314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Scores and classes; a summary box lists which predictors fall on the damaging and neutral sides</w:t>
            </w:r>
          </w:p>
        </w:tc>
      </w:tr>
      <w:tr w:rsidR="006860AF" w14:paraId="17828B50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9657C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Other nucleotide changes producing the same substitution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7171E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ClinVar index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EC846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PS1 candidate</w:t>
            </w:r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5C7E5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Stated as a PS1 candidate when classified pathogenic, with a caveat about splicing differences</w:t>
            </w:r>
          </w:p>
        </w:tc>
      </w:tr>
      <w:tr w:rsidR="006860AF" w14:paraId="02B353D8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73DD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Substitutions to a different amino acid at the same position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9A1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ClinVar index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0C35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PM5 candidate</w:t>
            </w:r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2D006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Number of pathogenic classifications; benign classifications noted</w:t>
            </w:r>
          </w:p>
        </w:tc>
      </w:tr>
      <w:tr w:rsidR="006860AF" w14:paraId="5F57064B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43AE5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Allele frequency, homozygotes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42A3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gnomAD, TogoVar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4C50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BA1 (above 0.05), BS1, BS2</w:t>
            </w:r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805E5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Frequency and allele counts; BA1 flagged above 0.05</w:t>
            </w:r>
          </w:p>
        </w:tc>
      </w:tr>
      <w:tr w:rsidR="006860AF" w14:paraId="1622F699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95EDD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Absence from population databases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9022E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gnomAD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5538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PM2_supporting candidate</w:t>
            </w:r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28AC8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Used as evidence only when coverage at the position is adequate</w:t>
            </w:r>
          </w:p>
        </w:tc>
      </w:tr>
      <w:tr w:rsidR="006860AF" w14:paraId="5FC6E3F5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AFA30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Measured functional-assay results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CDC86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MaveDB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4FFC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Material for PS3 / BS3</w:t>
            </w:r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491B7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Measured score and investigator-defined normal / abnormal class</w:t>
            </w:r>
          </w:p>
        </w:tc>
      </w:tr>
      <w:tr w:rsidR="006860AF" w14:paraId="5D13DC19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41CF8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Effect on splicing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856AC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SpliceAI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1D2A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Premise of the missense evaluation</w:t>
            </w:r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A7C00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Note at delta 0.2 or above; at 0.5 or above, re-evaluation as a splicing variant is advised</w:t>
            </w:r>
          </w:p>
        </w:tc>
      </w:tr>
      <w:tr w:rsidR="006860AF" w14:paraId="30C5A736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F8B97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Gene–disease relationship, inheritance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AF7E5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ClinGen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4F671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Context for pLI, BS2 and PM2</w:t>
            </w:r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F164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Gene-level associated diseases, with the entry matching the variant's main ClinVar condition marked</w:t>
            </w:r>
          </w:p>
        </w:tc>
      </w:tr>
      <w:tr w:rsidR="006860AF" w14:paraId="2D8C7239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C962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Clinical classification of this variant</w:t>
            </w:r>
          </w:p>
        </w:tc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9910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ClinVar</w:t>
            </w:r>
          </w:p>
        </w:tc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E06EC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Existing classification</w:t>
            </w:r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C60D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Significance, review stars, conditions ordered by submission count (with a note that conditions are submitter-entered and unverified)</w:t>
            </w:r>
          </w:p>
        </w:tc>
      </w:tr>
    </w:tbl>
    <w:p w14:paraId="0006C52F" w14:textId="77777777" w:rsidR="006860AF" w:rsidRDefault="006860AF">
      <w:pPr>
        <w:spacing w:after="120"/>
      </w:pPr>
    </w:p>
    <w:p w14:paraId="1EC752B3" w14:textId="77777777" w:rsidR="006860AF" w:rsidRDefault="0055458A">
      <w:pPr>
        <w:spacing w:after="120" w:line="300" w:lineRule="auto"/>
      </w:pPr>
      <w:r>
        <w:t>The report only indicates candidate criteria; whether to apply a criterion and at what strength is left to the interpreter.</w:t>
      </w:r>
    </w:p>
    <w:p w14:paraId="5FBC6076" w14:textId="77777777" w:rsidR="006860AF" w:rsidRDefault="0055458A">
      <w:pPr>
        <w:pStyle w:val="1"/>
      </w:pPr>
      <w:bookmarkStart w:id="9" w:name="_Toc239950216"/>
      <w:r>
        <w:t>8. Variants without a FuncVEP score</w:t>
      </w:r>
      <w:bookmarkEnd w:id="9"/>
    </w:p>
    <w:p w14:paraId="58CD88A0" w14:textId="77777777" w:rsidR="006860AF" w:rsidRDefault="0055458A">
      <w:pPr>
        <w:spacing w:after="120" w:line="300" w:lineRule="auto"/>
      </w:pPr>
      <w:r>
        <w:t>Scores are withheld for training variants in the released table. Based on correspondence with the authors (5 and 7 September 2026), the report distinguishes three situations:</w:t>
      </w:r>
    </w:p>
    <w:p w14:paraId="5FFF4255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Row present but score blank: the variant was in the training set of some models; those models' scores are withheld.</w:t>
      </w:r>
    </w:p>
    <w:p w14:paraId="5EA09968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No row at all: the variant was in the training sets of all six models, was excluded from every model's inference, and therefore does not appear in the merged table.</w:t>
      </w:r>
    </w:p>
    <w:p w14:paraId="522A2583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No row and not in any published training set: a consequence of dataset assembly (annotation differences, absence from source data, processing gaps).</w:t>
      </w:r>
    </w:p>
    <w:p w14:paraId="35EE00A9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In every case the report states that the absence of a score carries no information about pathogenicity or prediction confidence, and directs the reader to AlphaMissense, REVEL and ClinVar. Training-set membership per model is shown from the published training sets.</w:t>
      </w:r>
    </w:p>
    <w:p w14:paraId="069C26B8" w14:textId="77777777" w:rsidR="006860AF" w:rsidRDefault="0055458A">
      <w:pPr>
        <w:spacing w:after="120" w:line="300" w:lineRule="auto"/>
      </w:pPr>
      <w:r>
        <w:t>Measured locally on ClinVar missense variants with two or more review stars: 11.3% of 24,010 pathogenic variants (4.9% no row, 6.7% blank) and 7.0% of 38,528 benign variants have no score. Of the 2,948 variants without a row, 83.3% are explained by the training sets; the remaining 487 fall under the third situation.</w:t>
      </w:r>
    </w:p>
    <w:p w14:paraId="2F8613B9" w14:textId="77777777" w:rsidR="006860AF" w:rsidRDefault="0055458A">
      <w:pPr>
        <w:pStyle w:val="1"/>
      </w:pPr>
      <w:bookmarkStart w:id="10" w:name="_Toc239950217"/>
      <w:r>
        <w:t>9. Report structure</w:t>
      </w:r>
      <w:bookmarkEnd w:id="10"/>
    </w:p>
    <w:p w14:paraId="45AF607F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Title, issuing department, query, creation time</w:t>
      </w:r>
    </w:p>
    <w:p w14:paraId="7415BC21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Variant under evaluation: substitution, genomic coordinate (GRCh38), transcript; all candidates if more than one</w:t>
      </w:r>
    </w:p>
    <w:p w14:paraId="00DF2F95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Notes: matters affecting interpretation of the input (multiple candidates, assumed transcript, p. disagreement, SpliceAI warning); omitted when none apply</w:t>
      </w:r>
    </w:p>
    <w:p w14:paraId="0D3128B2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Gene: pLI, missense z, LoF z (each with a one-line verdict and explanation); ClinGen gene-level associated diseases</w:t>
      </w:r>
    </w:p>
    <w:p w14:paraId="31F2E5AB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Per variant (banded heading; page break before the second candidate): population frequency (gnomAD), FuncVEP, other predictors (ClinVEP, AlphaMissense, REVEL, SpliceAI), functional-assay data (MaveDB, when available), summary of predictor calls (tinted box), ClinVar (this variant), ClinVar (other variants at the same amino-acid position)</w:t>
      </w:r>
    </w:p>
    <w:p w14:paraId="4E61AE85" w14:textId="77777777" w:rsidR="006860AF" w:rsidRDefault="0055458A">
      <w:pPr>
        <w:pStyle w:val="a4"/>
        <w:numPr>
          <w:ilvl w:val="0"/>
          <w:numId w:val="3"/>
        </w:numPr>
        <w:spacing w:after="80" w:line="280" w:lineRule="auto"/>
      </w:pPr>
      <w:r>
        <w:t>About the PP3/BP4 thresholds, interpretation notes (banded heading), acknowledgements, references</w:t>
      </w:r>
    </w:p>
    <w:p w14:paraId="1470FAE6" w14:textId="77777777" w:rsidR="006860AF" w:rsidRDefault="0055458A">
      <w:pPr>
        <w:spacing w:after="120" w:line="300" w:lineRule="auto"/>
      </w:pPr>
      <w:r>
        <w:t>Wording policy: Japanese text is written in the polite register throughout and technical terms are defined at first use; English call words such as damaging / neutral are glossed in Japanese. The colour of the summary box (red, green or amber) shows only whether the predictors agree, and the box itself states that it is not a pathogenicity judgement.</w:t>
      </w:r>
    </w:p>
    <w:p w14:paraId="4D560BCA" w14:textId="77777777" w:rsidR="006860AF" w:rsidRDefault="0055458A">
      <w:pPr>
        <w:pStyle w:val="1"/>
      </w:pPr>
      <w:bookmarkStart w:id="11" w:name="_Toc239950218"/>
      <w:r>
        <w:t>10. Verification</w:t>
      </w:r>
      <w:bookmarkEnd w:id="11"/>
    </w:p>
    <w:p w14:paraId="790F3419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62 unit tests (input parsing, codon translation, parsing of each API response, classification of same-position variants).</w:t>
      </w:r>
    </w:p>
    <w:p w14:paraId="574E9C9D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Self-test on 25 known inputs (including HGVS cross-checks and inputs that must be rejected): 19 OK, 6 informational, 0 failures. The 6 informational cases are missing FuncVEP scores due to training-set membership, all explained.</w:t>
      </w:r>
    </w:p>
    <w:p w14:paraId="7DDB24D9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Coordinate check: TP53 p.Arg175His maps to chr17:7,675,088 on GRCh38. Transcript-version differences and isoform offsets were measured and the fallback path verified.</w:t>
      </w:r>
    </w:p>
    <w:p w14:paraId="5B2195A9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Coverage of the released table measured locally and reconciled with the authors (discrepancy table shared on 6 September 2026).</w:t>
      </w:r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6318"/>
      </w:tblGrid>
      <w:tr w:rsidR="006860AF" w14:paraId="33F1FB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765E9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Variant used</w:t>
            </w:r>
          </w:p>
        </w:tc>
        <w:tc>
          <w:tcPr>
            <w:tcW w:w="631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D7C9A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What was checked</w:t>
            </w:r>
          </w:p>
        </w:tc>
      </w:tr>
      <w:tr w:rsidR="006860AF" w14:paraId="7A4608FC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7A2D8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BRCA1 p.Arg1699Trp</w:t>
            </w:r>
          </w:p>
        </w:tc>
        <w:tc>
          <w:tcPr>
            <w:tcW w:w="63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F2A4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PP3_Strong on all three FuncVEP models; ClinVar expert-panel 3 stars; Arg1699Gln and Arg1699Leu pathogenic at the same position (PM5 candidate)</w:t>
            </w:r>
          </w:p>
        </w:tc>
      </w:tr>
      <w:tr w:rsidR="006860AF" w14:paraId="5EA02037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39CE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BRCA1 p.Cys61Gly</w:t>
            </w:r>
          </w:p>
        </w:tc>
        <w:tc>
          <w:tcPr>
            <w:tcW w:w="63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7901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"Abnormal" in the BRCA1 SGE dataset (Findlay et al. 2018) in MaveDB; datasets that carry only c. notation are matched by translating on the CDS</w:t>
            </w:r>
          </w:p>
        </w:tc>
      </w:tr>
      <w:tr w:rsidR="006860AF" w14:paraId="29C85DDA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0D7F7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HBB p.Glu7Val</w:t>
            </w:r>
          </w:p>
        </w:tc>
        <w:tc>
          <w:tcPr>
            <w:tcW w:w="63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9ED7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 neutral but clinically pathogenic (HbS polymerisation): an example of functional impact diverging from pathogenicity. Absent from ToMMo; present only in NCBN (shown as supplementary)</w:t>
            </w:r>
          </w:p>
        </w:tc>
      </w:tr>
      <w:tr w:rsidR="006860AF" w14:paraId="17AB4D11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549D8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FGFR3 p.Gly380Arg</w:t>
            </w:r>
          </w:p>
        </w:tc>
        <w:tc>
          <w:tcPr>
            <w:tcW w:w="63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E882F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Two nucleotide changes for one substitution (G&gt;A blank for three models, G&gt;C absent for all six); each is a PS1 candidate for the other. ClinVar conditions by submission count: achondroplasia 38</w:t>
            </w:r>
          </w:p>
        </w:tc>
      </w:tr>
      <w:tr w:rsidR="006860AF" w14:paraId="04132C94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83E6C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NEFL p.Pro8Leu</w:t>
            </w:r>
          </w:p>
        </w:tc>
        <w:tc>
          <w:tcPr>
            <w:tcW w:w="63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F866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No row in the released table; absent from gnomAD (PM2_supporting candidate); Pro8Arg and Pro8Gln pathogenic at the same position (PM5 candidate)</w:t>
            </w:r>
          </w:p>
        </w:tc>
      </w:tr>
      <w:tr w:rsidR="006860AF" w14:paraId="0DC72B69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1EE7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SDHB c.574T&gt;C (p.Cys192Arg)</w:t>
            </w:r>
          </w:p>
        </w:tc>
        <w:tc>
          <w:tcPr>
            <w:tcW w:w="63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6877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Report-style input; c. and p. notations agree and the variant resolves without a note</w:t>
            </w:r>
          </w:p>
        </w:tc>
      </w:tr>
    </w:tbl>
    <w:p w14:paraId="2CD90C73" w14:textId="77777777" w:rsidR="006860AF" w:rsidRDefault="0055458A">
      <w:pPr>
        <w:pStyle w:val="1"/>
      </w:pPr>
      <w:bookmarkStart w:id="12" w:name="_Toc239950219"/>
      <w:r>
        <w:t>11. Interpretation limits</w:t>
      </w:r>
      <w:bookmarkEnd w:id="12"/>
    </w:p>
    <w:p w14:paraId="1DBF5F30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FuncVEP predicts the effect on protein function, not clinical pathogenicity itself. Gain-of-function, aggregation and variable-penetrance variants can be pathogenic despite a low functional score.</w:t>
      </w:r>
    </w:p>
    <w:p w14:paraId="51B36BE2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Under ACMG/AMP the scores count as PP3/BP4 (computational evidence), never as PS3/BS3 (functional evidence).</w:t>
      </w:r>
    </w:p>
    <w:p w14:paraId="6B3EA6D3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Missense variants only; effects on splicing are shown separately through SpliceAI.</w:t>
      </w:r>
    </w:p>
    <w:p w14:paraId="5D92D1CE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ClinVar conditions are submitter-entered and unverified; ClinGen assessments are gene-level.</w:t>
      </w:r>
    </w:p>
    <w:p w14:paraId="6487AE11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The report is an aid and cannot be used on its own as the basis for a clinical decision.</w:t>
      </w:r>
    </w:p>
    <w:p w14:paraId="442DA109" w14:textId="77777777" w:rsidR="006860AF" w:rsidRDefault="0055458A">
      <w:pPr>
        <w:pStyle w:val="1"/>
      </w:pPr>
      <w:bookmarkStart w:id="13" w:name="_Toc239950220"/>
      <w:r>
        <w:t>12. Licensing and data governance</w:t>
      </w:r>
      <w:bookmarkEnd w:id="13"/>
    </w:p>
    <w:p w14:paraId="2587AE76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FuncVEP: PolyForm Strict 1.0.0 (non-commercial; no modification or redistribution). The prediction table and the index stay within the institution.</w:t>
      </w:r>
    </w:p>
    <w:p w14:paraId="613CB6B0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AlphaMissense: CC BY-NC-SA 4.0. REVEL: non-commercial. ClinVar and MANE: public domain. gnomAD: CC0.</w:t>
      </w:r>
    </w:p>
    <w:p w14:paraId="71396543" w14:textId="77777777" w:rsidR="006860AF" w:rsidRDefault="0055458A">
      <w:pPr>
        <w:pStyle w:val="a4"/>
        <w:numPr>
          <w:ilvl w:val="0"/>
          <w:numId w:val="2"/>
        </w:numPr>
        <w:spacing w:after="80" w:line="280" w:lineRule="auto"/>
      </w:pPr>
      <w:r>
        <w:t>Only code and documentation are shared, in a private repository, for the authors' review.</w:t>
      </w:r>
    </w:p>
    <w:p w14:paraId="41EEA7B0" w14:textId="77777777" w:rsidR="006860AF" w:rsidRDefault="0055458A">
      <w:pPr>
        <w:pStyle w:val="1"/>
      </w:pPr>
      <w:bookmarkStart w:id="14" w:name="_Toc239950221"/>
      <w:r>
        <w:t>13. Acknowledgements</w:t>
      </w:r>
      <w:bookmarkEnd w:id="14"/>
    </w:p>
    <w:p w14:paraId="7BA3D796" w14:textId="77777777" w:rsidR="006860AF" w:rsidRDefault="0055458A">
      <w:pPr>
        <w:spacing w:after="120" w:line="300" w:lineRule="auto"/>
      </w:pPr>
      <w:r>
        <w:t>The FuncVEP components of this tool were completed with the generous help of the authors, Kerem Çil, Barış Kayaalp and Tayfun Özçelik (Bilkent University), who provided the published PP3/BP4 calibration values (Supplementary Table 13) and clarified variants absent from the released table. We are grateful for their support.</w:t>
      </w:r>
    </w:p>
    <w:p w14:paraId="57928EBA" w14:textId="77777777" w:rsidR="006860AF" w:rsidRDefault="0055458A">
      <w:r>
        <w:br w:type="page"/>
      </w:r>
    </w:p>
    <w:p w14:paraId="2C7A4B84" w14:textId="77777777" w:rsidR="006860AF" w:rsidRDefault="0055458A">
      <w:pPr>
        <w:pStyle w:val="1"/>
      </w:pPr>
      <w:bookmarkStart w:id="15" w:name="_Toc239950222"/>
      <w:r>
        <w:t>Appendix A. PP3/BP4 thresholds (Supplementary Table 13)</w:t>
      </w:r>
      <w:bookmarkEnd w:id="15"/>
    </w:p>
    <w:p w14:paraId="6AAFC78A" w14:textId="77777777" w:rsidR="006860AF" w:rsidRDefault="0055458A">
      <w:pPr>
        <w:spacing w:after="120" w:line="300" w:lineRule="auto"/>
      </w:pPr>
      <w:r>
        <w:t>PP3 applies when the score is at or above the threshold, BP4 when it is at or below. Tiers follow Supporting / Moderate / Intermediate / Strong (Bergquist et al. 2025, Genet Med). The damaging / neutral boundary (binary) differs by model and is not 0.5.</w:t>
      </w:r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813"/>
        <w:gridCol w:w="813"/>
        <w:gridCol w:w="812"/>
        <w:gridCol w:w="812"/>
        <w:gridCol w:w="812"/>
        <w:gridCol w:w="812"/>
        <w:gridCol w:w="812"/>
        <w:gridCol w:w="812"/>
        <w:gridCol w:w="1083"/>
      </w:tblGrid>
      <w:tr w:rsidR="006860AF" w14:paraId="23587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6E8FF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81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5861B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PP3 Sup</w:t>
            </w:r>
          </w:p>
        </w:tc>
        <w:tc>
          <w:tcPr>
            <w:tcW w:w="81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6A33C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PP3 Mod</w:t>
            </w:r>
          </w:p>
        </w:tc>
        <w:tc>
          <w:tcPr>
            <w:tcW w:w="81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0FE27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PP3 Int</w:t>
            </w:r>
          </w:p>
        </w:tc>
        <w:tc>
          <w:tcPr>
            <w:tcW w:w="81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2F156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PP3 Str</w:t>
            </w:r>
          </w:p>
        </w:tc>
        <w:tc>
          <w:tcPr>
            <w:tcW w:w="81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161E8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BP4 Sup</w:t>
            </w:r>
          </w:p>
        </w:tc>
        <w:tc>
          <w:tcPr>
            <w:tcW w:w="81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5F02C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BP4 Mod</w:t>
            </w:r>
          </w:p>
        </w:tc>
        <w:tc>
          <w:tcPr>
            <w:tcW w:w="81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BC198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BP4 Int</w:t>
            </w:r>
          </w:p>
        </w:tc>
        <w:tc>
          <w:tcPr>
            <w:tcW w:w="81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EB691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BP4 Str</w:t>
            </w:r>
          </w:p>
        </w:tc>
        <w:tc>
          <w:tcPr>
            <w:tcW w:w="1083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EA40F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binary</w:t>
            </w:r>
          </w:p>
        </w:tc>
      </w:tr>
      <w:tr w:rsidR="006860AF" w14:paraId="5AD59C3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0559F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FuncVEP-CTI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1610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0.6903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4CA3F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0.8023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FB845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0.8583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CD95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0.9109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A3014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0.1352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32A8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0.0643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3973F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0.0262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E1EAE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0.0174</w:t>
            </w:r>
          </w:p>
        </w:tc>
        <w:tc>
          <w:tcPr>
            <w:tcW w:w="10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BEE66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0.4196</w:t>
            </w:r>
          </w:p>
        </w:tc>
      </w:tr>
      <w:tr w:rsidR="006860AF" w14:paraId="2473956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5D52C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FuncVEP-CTE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FDCDD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0.7976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8E8FE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0.8803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F48E4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0.9370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C2CE4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0.9758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30D68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0.1407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61BCF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0.0278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5A38C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0.0171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0196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0.0106</w:t>
            </w:r>
          </w:p>
        </w:tc>
        <w:tc>
          <w:tcPr>
            <w:tcW w:w="10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BAC0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0.5193</w:t>
            </w:r>
          </w:p>
        </w:tc>
      </w:tr>
      <w:tr w:rsidR="006860AF" w14:paraId="36AA186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7A335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FuncVEP-SP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CD55C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0.7646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2119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0.8933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A0475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0.9351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9C93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0.9943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9B647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0.1654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26D1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0.0803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057D7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0.0276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691F8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0.0159</w:t>
            </w:r>
          </w:p>
        </w:tc>
        <w:tc>
          <w:tcPr>
            <w:tcW w:w="10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AC025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0.4409</w:t>
            </w:r>
          </w:p>
        </w:tc>
      </w:tr>
      <w:tr w:rsidR="006860AF" w14:paraId="6B4489D7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6A31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AlphaMissense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AD537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0.5479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2532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0.8071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C030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0.8794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C732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0.9798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9F8E1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0.1703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DB08C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0.1130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AB86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0.0973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16DE8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0.0836</w:t>
            </w:r>
          </w:p>
        </w:tc>
        <w:tc>
          <w:tcPr>
            <w:tcW w:w="10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24E5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0.3984</w:t>
            </w:r>
          </w:p>
        </w:tc>
      </w:tr>
    </w:tbl>
    <w:p w14:paraId="3F68F152" w14:textId="77777777" w:rsidR="006860AF" w:rsidRDefault="006860AF">
      <w:pPr>
        <w:spacing w:after="120"/>
      </w:pPr>
    </w:p>
    <w:p w14:paraId="37FEA624" w14:textId="77777777" w:rsidR="006860AF" w:rsidRDefault="0055458A">
      <w:pPr>
        <w:pStyle w:val="1"/>
      </w:pPr>
      <w:bookmarkStart w:id="16" w:name="_Toc239950223"/>
      <w:r>
        <w:t>Appendix B. Components</w:t>
      </w:r>
      <w:bookmarkEnd w:id="16"/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3"/>
        <w:gridCol w:w="5823"/>
      </w:tblGrid>
      <w:tr w:rsidR="006860AF" w14:paraId="3B1B9A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9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87444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5867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12F97" w14:textId="77777777" w:rsidR="006860AF" w:rsidRDefault="0055458A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Role</w:t>
            </w:r>
          </w:p>
        </w:tc>
      </w:tr>
      <w:tr w:rsidR="006860AF" w14:paraId="53810258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D817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app.py</w:t>
            </w:r>
          </w:p>
        </w:tc>
        <w:tc>
          <w:tcPr>
            <w:tcW w:w="5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D1F28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Streamlit screen (Japanese / English)</w:t>
            </w:r>
          </w:p>
        </w:tc>
      </w:tr>
      <w:tr w:rsidR="006860AF" w14:paraId="0AD158BC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3C86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funcvep_report/variant.py</w:t>
            </w:r>
          </w:p>
        </w:tc>
        <w:tc>
          <w:tcPr>
            <w:tcW w:w="5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B05FC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Input parsing, amino-acid codes, codon translation</w:t>
            </w:r>
          </w:p>
        </w:tc>
      </w:tr>
      <w:tr w:rsidR="006860AF" w14:paraId="10F430F0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5E304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funcvep_report/lookup.py</w:t>
            </w:r>
          </w:p>
        </w:tc>
        <w:tc>
          <w:tcPr>
            <w:tcW w:w="5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2C534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Index queries (DuckDB), transcript and coordinate resolution, evidence gathering</w:t>
            </w:r>
          </w:p>
        </w:tc>
      </w:tr>
      <w:tr w:rsidR="006860AF" w14:paraId="2EF95347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620E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funcvep_report/acmg.py</w:t>
            </w:r>
          </w:p>
        </w:tc>
        <w:tc>
          <w:tcPr>
            <w:tcW w:w="5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852B3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PP3/BP4 tiers from the published thresholds</w:t>
            </w:r>
          </w:p>
        </w:tc>
      </w:tr>
      <w:tr w:rsidR="006860AF" w14:paraId="26BC2A0F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CA8C1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funcvep_report/report.py</w:t>
            </w:r>
          </w:p>
        </w:tc>
        <w:tc>
          <w:tcPr>
            <w:tcW w:w="5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2C569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Report assembly (sections, notes, ACMG candidates)</w:t>
            </w:r>
          </w:p>
        </w:tc>
      </w:tr>
      <w:tr w:rsidR="006860AF" w14:paraId="0F3BB6D7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63DEB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funcvep_report/pdfout.py</w:t>
            </w:r>
          </w:p>
        </w:tc>
        <w:tc>
          <w:tcPr>
            <w:tcW w:w="5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22A40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PDF output (fpdf2; BIZ UDP Gothic / Arial)</w:t>
            </w:r>
          </w:p>
        </w:tc>
      </w:tr>
      <w:tr w:rsidR="006860AF" w14:paraId="1B1E5D31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20491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funcvep_report/i18n.py</w:t>
            </w:r>
          </w:p>
        </w:tc>
        <w:tc>
          <w:tcPr>
            <w:tcW w:w="5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5D376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All Japanese / English strings</w:t>
            </w:r>
          </w:p>
        </w:tc>
      </w:tr>
      <w:tr w:rsidR="006860AF" w14:paraId="69867086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9E176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gnomad.py, togovar.py, spliceai.py, clingen.py, mavedb.py, clinvar_api.py, litvar.py</w:t>
            </w:r>
          </w:p>
        </w:tc>
        <w:tc>
          <w:tcPr>
            <w:tcW w:w="5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B62B5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Clients for the public APIs (section 5.2)</w:t>
            </w:r>
          </w:p>
        </w:tc>
      </w:tr>
      <w:tr w:rsidR="006860AF" w14:paraId="47E23EAD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7BC6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scripts/01–06</w:t>
            </w:r>
          </w:p>
        </w:tc>
        <w:tc>
          <w:tcPr>
            <w:tcW w:w="5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41264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Download references, build the index, local calibration (comparison only), self-test, fetch training sets, audit absent scores</w:t>
            </w:r>
          </w:p>
        </w:tc>
      </w:tr>
      <w:tr w:rsidR="006860AF" w14:paraId="1DEBA9CE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B3D1A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data/acmg_thresholds_published.json</w:t>
            </w:r>
          </w:p>
        </w:tc>
        <w:tc>
          <w:tcPr>
            <w:tcW w:w="5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3E88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Supplementary Table 13 values as provided by the authors</w:t>
            </w:r>
          </w:p>
        </w:tc>
      </w:tr>
      <w:tr w:rsidR="006860AF" w14:paraId="5E73414B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E10EF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tests/</w:t>
            </w:r>
          </w:p>
        </w:tc>
        <w:tc>
          <w:tcPr>
            <w:tcW w:w="5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C9D82" w14:textId="77777777" w:rsidR="006860AF" w:rsidRDefault="0055458A">
            <w:pPr>
              <w:spacing w:line="260" w:lineRule="auto"/>
            </w:pPr>
            <w:r>
              <w:rPr>
                <w:sz w:val="18"/>
                <w:szCs w:val="18"/>
              </w:rPr>
              <w:t>Unit tests (62)</w:t>
            </w:r>
          </w:p>
        </w:tc>
      </w:tr>
    </w:tbl>
    <w:p w14:paraId="069CB583" w14:textId="77777777" w:rsidR="0055458A" w:rsidRDefault="0055458A"/>
    <w:sectPr w:rsidR="0055458A">
      <w:footerReference w:type="default" r:id="rId7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29BD4" w14:textId="77777777" w:rsidR="0055458A" w:rsidRDefault="0055458A">
      <w:r>
        <w:separator/>
      </w:r>
    </w:p>
  </w:endnote>
  <w:endnote w:type="continuationSeparator" w:id="0">
    <w:p w14:paraId="51B522E2" w14:textId="77777777" w:rsidR="0055458A" w:rsidRDefault="00554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9A4FA" w14:textId="77777777" w:rsidR="006860AF" w:rsidRDefault="0055458A">
    <w:pPr>
      <w:jc w:val="center"/>
    </w:pPr>
    <w:r>
      <w:rPr>
        <w:color w:val="666666"/>
        <w:sz w:val="16"/>
        <w:szCs w:val="16"/>
      </w:rPr>
      <w:t xml:space="preserve">Department of Clinical Genetics, Hyogo Medical University Hospital — Missense Variant Evaluation Report: Requirements and Design Overview  — 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44CA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2BE1D" w14:textId="77777777" w:rsidR="0055458A" w:rsidRDefault="0055458A">
      <w:r>
        <w:separator/>
      </w:r>
    </w:p>
  </w:footnote>
  <w:footnote w:type="continuationSeparator" w:id="0">
    <w:p w14:paraId="02A251A7" w14:textId="77777777" w:rsidR="0055458A" w:rsidRDefault="005545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E4095"/>
    <w:multiLevelType w:val="hybridMultilevel"/>
    <w:tmpl w:val="C308BA22"/>
    <w:lvl w:ilvl="0" w:tplc="3BBC1868">
      <w:start w:val="1"/>
      <w:numFmt w:val="bullet"/>
      <w:lvlText w:val="•"/>
      <w:lvlJc w:val="left"/>
      <w:pPr>
        <w:ind w:left="540" w:hanging="300"/>
      </w:pPr>
    </w:lvl>
    <w:lvl w:ilvl="1" w:tplc="BC5A7D12">
      <w:numFmt w:val="decimal"/>
      <w:lvlText w:val=""/>
      <w:lvlJc w:val="left"/>
    </w:lvl>
    <w:lvl w:ilvl="2" w:tplc="B3B0D818">
      <w:numFmt w:val="decimal"/>
      <w:lvlText w:val=""/>
      <w:lvlJc w:val="left"/>
    </w:lvl>
    <w:lvl w:ilvl="3" w:tplc="D0607CF8">
      <w:numFmt w:val="decimal"/>
      <w:lvlText w:val=""/>
      <w:lvlJc w:val="left"/>
    </w:lvl>
    <w:lvl w:ilvl="4" w:tplc="9C12FCFC">
      <w:numFmt w:val="decimal"/>
      <w:lvlText w:val=""/>
      <w:lvlJc w:val="left"/>
    </w:lvl>
    <w:lvl w:ilvl="5" w:tplc="D1B0E39A">
      <w:numFmt w:val="decimal"/>
      <w:lvlText w:val=""/>
      <w:lvlJc w:val="left"/>
    </w:lvl>
    <w:lvl w:ilvl="6" w:tplc="43B4C958">
      <w:numFmt w:val="decimal"/>
      <w:lvlText w:val=""/>
      <w:lvlJc w:val="left"/>
    </w:lvl>
    <w:lvl w:ilvl="7" w:tplc="ECA0544A">
      <w:numFmt w:val="decimal"/>
      <w:lvlText w:val=""/>
      <w:lvlJc w:val="left"/>
    </w:lvl>
    <w:lvl w:ilvl="8" w:tplc="07F49466">
      <w:numFmt w:val="decimal"/>
      <w:lvlText w:val=""/>
      <w:lvlJc w:val="left"/>
    </w:lvl>
  </w:abstractNum>
  <w:abstractNum w:abstractNumId="1" w15:restartNumberingAfterBreak="0">
    <w:nsid w:val="38932EEF"/>
    <w:multiLevelType w:val="hybridMultilevel"/>
    <w:tmpl w:val="6072592E"/>
    <w:lvl w:ilvl="0" w:tplc="968882C2">
      <w:start w:val="1"/>
      <w:numFmt w:val="decimal"/>
      <w:lvlText w:val="%1."/>
      <w:lvlJc w:val="left"/>
      <w:pPr>
        <w:ind w:left="540" w:hanging="360"/>
      </w:pPr>
    </w:lvl>
    <w:lvl w:ilvl="1" w:tplc="EBDACA76">
      <w:numFmt w:val="decimal"/>
      <w:lvlText w:val=""/>
      <w:lvlJc w:val="left"/>
    </w:lvl>
    <w:lvl w:ilvl="2" w:tplc="CAC0AE26">
      <w:numFmt w:val="decimal"/>
      <w:lvlText w:val=""/>
      <w:lvlJc w:val="left"/>
    </w:lvl>
    <w:lvl w:ilvl="3" w:tplc="7B4ED72C">
      <w:numFmt w:val="decimal"/>
      <w:lvlText w:val=""/>
      <w:lvlJc w:val="left"/>
    </w:lvl>
    <w:lvl w:ilvl="4" w:tplc="3E3E56FE">
      <w:numFmt w:val="decimal"/>
      <w:lvlText w:val=""/>
      <w:lvlJc w:val="left"/>
    </w:lvl>
    <w:lvl w:ilvl="5" w:tplc="A7609194">
      <w:numFmt w:val="decimal"/>
      <w:lvlText w:val=""/>
      <w:lvlJc w:val="left"/>
    </w:lvl>
    <w:lvl w:ilvl="6" w:tplc="867A71E6">
      <w:numFmt w:val="decimal"/>
      <w:lvlText w:val=""/>
      <w:lvlJc w:val="left"/>
    </w:lvl>
    <w:lvl w:ilvl="7" w:tplc="F75E51B8">
      <w:numFmt w:val="decimal"/>
      <w:lvlText w:val=""/>
      <w:lvlJc w:val="left"/>
    </w:lvl>
    <w:lvl w:ilvl="8" w:tplc="776256B0">
      <w:numFmt w:val="decimal"/>
      <w:lvlText w:val=""/>
      <w:lvlJc w:val="left"/>
    </w:lvl>
  </w:abstractNum>
  <w:abstractNum w:abstractNumId="2" w15:restartNumberingAfterBreak="0">
    <w:nsid w:val="786C260F"/>
    <w:multiLevelType w:val="hybridMultilevel"/>
    <w:tmpl w:val="7D1AF28C"/>
    <w:lvl w:ilvl="0" w:tplc="682E1B54">
      <w:start w:val="1"/>
      <w:numFmt w:val="bullet"/>
      <w:lvlText w:val="●"/>
      <w:lvlJc w:val="left"/>
      <w:pPr>
        <w:ind w:left="720" w:hanging="360"/>
      </w:pPr>
    </w:lvl>
    <w:lvl w:ilvl="1" w:tplc="C9F4295C">
      <w:start w:val="1"/>
      <w:numFmt w:val="bullet"/>
      <w:lvlText w:val="○"/>
      <w:lvlJc w:val="left"/>
      <w:pPr>
        <w:ind w:left="1440" w:hanging="360"/>
      </w:pPr>
    </w:lvl>
    <w:lvl w:ilvl="2" w:tplc="1E564906">
      <w:start w:val="1"/>
      <w:numFmt w:val="bullet"/>
      <w:lvlText w:val="■"/>
      <w:lvlJc w:val="left"/>
      <w:pPr>
        <w:ind w:left="2160" w:hanging="360"/>
      </w:pPr>
    </w:lvl>
    <w:lvl w:ilvl="3" w:tplc="C4F44382">
      <w:start w:val="1"/>
      <w:numFmt w:val="bullet"/>
      <w:lvlText w:val="●"/>
      <w:lvlJc w:val="left"/>
      <w:pPr>
        <w:ind w:left="2880" w:hanging="360"/>
      </w:pPr>
    </w:lvl>
    <w:lvl w:ilvl="4" w:tplc="3E829532">
      <w:start w:val="1"/>
      <w:numFmt w:val="bullet"/>
      <w:lvlText w:val="○"/>
      <w:lvlJc w:val="left"/>
      <w:pPr>
        <w:ind w:left="3600" w:hanging="360"/>
      </w:pPr>
    </w:lvl>
    <w:lvl w:ilvl="5" w:tplc="298E8010">
      <w:start w:val="1"/>
      <w:numFmt w:val="bullet"/>
      <w:lvlText w:val="■"/>
      <w:lvlJc w:val="left"/>
      <w:pPr>
        <w:ind w:left="4320" w:hanging="360"/>
      </w:pPr>
    </w:lvl>
    <w:lvl w:ilvl="6" w:tplc="80AE0ACE">
      <w:start w:val="1"/>
      <w:numFmt w:val="bullet"/>
      <w:lvlText w:val="●"/>
      <w:lvlJc w:val="left"/>
      <w:pPr>
        <w:ind w:left="5040" w:hanging="360"/>
      </w:pPr>
    </w:lvl>
    <w:lvl w:ilvl="7" w:tplc="C0AC2614">
      <w:start w:val="1"/>
      <w:numFmt w:val="bullet"/>
      <w:lvlText w:val="●"/>
      <w:lvlJc w:val="left"/>
      <w:pPr>
        <w:ind w:left="5760" w:hanging="360"/>
      </w:pPr>
    </w:lvl>
    <w:lvl w:ilvl="8" w:tplc="186EA574">
      <w:start w:val="1"/>
      <w:numFmt w:val="bullet"/>
      <w:lvlText w:val="●"/>
      <w:lvlJc w:val="left"/>
      <w:pPr>
        <w:ind w:left="6480" w:hanging="360"/>
      </w:pPr>
    </w:lvl>
  </w:abstractNum>
  <w:num w:numId="1" w16cid:durableId="159199125">
    <w:abstractNumId w:val="2"/>
    <w:lvlOverride w:ilvl="0">
      <w:startOverride w:val="1"/>
    </w:lvlOverride>
  </w:num>
  <w:num w:numId="2" w16cid:durableId="901253173">
    <w:abstractNumId w:val="0"/>
    <w:lvlOverride w:ilvl="0">
      <w:startOverride w:val="1"/>
    </w:lvlOverride>
  </w:num>
  <w:num w:numId="3" w16cid:durableId="18963075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0AF"/>
    <w:rsid w:val="0055458A"/>
    <w:rsid w:val="006860AF"/>
    <w:rsid w:val="007E3121"/>
    <w:rsid w:val="00D4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336E457"/>
  <w15:docId w15:val="{F1C9E995-5336-40B5-87EF-8B83955E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C4E80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C4E8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44CA0"/>
  </w:style>
  <w:style w:type="paragraph" w:styleId="20">
    <w:name w:val="toc 2"/>
    <w:basedOn w:val="a"/>
    <w:next w:val="a"/>
    <w:autoRedefine/>
    <w:uiPriority w:val="39"/>
    <w:unhideWhenUsed/>
    <w:rsid w:val="00D44CA0"/>
    <w:pPr>
      <w:ind w:leftChars="100" w:left="200"/>
    </w:pPr>
  </w:style>
  <w:style w:type="paragraph" w:styleId="ac">
    <w:name w:val="header"/>
    <w:basedOn w:val="a"/>
    <w:link w:val="ad"/>
    <w:uiPriority w:val="99"/>
    <w:unhideWhenUsed/>
    <w:rsid w:val="00D44CA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D44CA0"/>
  </w:style>
  <w:style w:type="paragraph" w:styleId="ae">
    <w:name w:val="footer"/>
    <w:basedOn w:val="a"/>
    <w:link w:val="af"/>
    <w:uiPriority w:val="99"/>
    <w:unhideWhenUsed/>
    <w:rsid w:val="00D44CA0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D44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2669</Words>
  <Characters>15218</Characters>
  <Application>Microsoft Office Word</Application>
  <DocSecurity>0</DocSecurity>
  <Lines>126</Lines>
  <Paragraphs>35</Paragraphs>
  <ScaleCrop>false</ScaleCrop>
  <Company/>
  <LinksUpToDate>false</LinksUpToDate>
  <CharactersWithSpaces>17852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Missense Variant Evaluation Report — Requirements and Design Overview</dc:title>
  <dc:creator>Department of Clinical Genetics, Hyogo Medical University Hospital</dc:creator>
  <cp:lastModifiedBy>英明 澤井</cp:lastModifiedBy>
  <cp:revision>2</cp:revision>
  <dcterms:created xsi:type="dcterms:W3CDTF">2026-09-10T07:29:00Z</dcterms:created>
  <dcterms:modified xsi:type="dcterms:W3CDTF">2026-09-10T07:29:00Z</dcterms:modified>
</cp:coreProperties>
</file>