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0"/>
        <w:jc w:val="center"/>
      </w:pPr>
      <w:r>
        <w:rPr>
          <w:rFonts w:ascii="Times New Roman" w:hAnsi="Times New Roman"/>
          <w:b/>
          <w:i w:val="0"/>
          <w:sz w:val="32"/>
        </w:rPr>
        <w:t>ASSIGNMENT 1</w:t>
      </w:r>
    </w:p>
    <w:p>
      <w:pPr>
        <w:spacing w:line="360" w:lineRule="auto" w:before="0" w:after="0"/>
        <w:jc w:val="center"/>
      </w:pPr>
      <w:r>
        <w:rPr>
          <w:rFonts w:ascii="Times New Roman" w:hAnsi="Times New Roman"/>
          <w:b/>
          <w:i w:val="0"/>
          <w:sz w:val="24"/>
        </w:rPr>
        <w:t>Building an Annotated Bibliography Using Reference Management Tools</w:t>
      </w:r>
    </w:p>
    <w:p>
      <w:pPr>
        <w:spacing w:line="360" w:lineRule="auto" w:before="0" w:after="0"/>
        <w:jc w:val="center"/>
      </w:pPr>
      <w:r>
        <w:rPr>
          <w:rFonts w:ascii="Times New Roman" w:hAnsi="Times New Roman"/>
          <w:b w:val="0"/>
          <w:i w:val="0"/>
          <w:sz w:val="24"/>
        </w:rPr>
        <w:t>BSE-C  SS 2012  Technical and Business Writing</w:t>
      </w:r>
    </w:p>
    <w:p>
      <w:pPr>
        <w:spacing w:line="360" w:lineRule="auto" w:before="0" w:after="0"/>
        <w:jc w:val="center"/>
      </w:pPr>
      <w:r>
        <w:rPr>
          <w:rFonts w:ascii="Times New Roman" w:hAnsi="Times New Roman"/>
          <w:b w:val="0"/>
          <w:i w:val="0"/>
          <w:sz w:val="24"/>
        </w:rPr>
        <w:t>Ms. Sadia Nauman</w:t>
      </w:r>
    </w:p>
    <w:p>
      <w:pPr>
        <w:spacing w:line="360" w:lineRule="auto" w:before="0" w:after="0"/>
        <w:jc w:val="center"/>
      </w:pPr>
      <w:r>
        <w:rPr>
          <w:rFonts w:ascii="Times New Roman" w:hAnsi="Times New Roman"/>
          <w:b w:val="0"/>
          <w:i w:val="0"/>
          <w:sz w:val="24"/>
        </w:rPr>
        <w:t>National University of Computer and Emerging Sciences, Islamabad</w:t>
      </w:r>
    </w:p>
    <w:p>
      <w:pPr>
        <w:spacing w:line="360" w:lineRule="auto" w:before="320" w:after="0"/>
        <w:jc w:val="left"/>
      </w:pPr>
    </w:p>
    <w:p>
      <w:pPr>
        <w:spacing w:line="360" w:lineRule="auto" w:before="0" w:after="0"/>
        <w:jc w:val="center"/>
      </w:pPr>
      <w:r>
        <w:rPr>
          <w:rFonts w:ascii="Times New Roman" w:hAnsi="Times New Roman"/>
          <w:b/>
          <w:i w:val="0"/>
          <w:sz w:val="28"/>
        </w:rPr>
        <w:t>Member 3 Work</w:t>
      </w:r>
    </w:p>
    <w:p>
      <w:pPr>
        <w:spacing w:line="360" w:lineRule="auto" w:before="0" w:after="0"/>
        <w:jc w:val="center"/>
      </w:pPr>
      <w:r>
        <w:rPr>
          <w:rFonts w:ascii="Times New Roman" w:hAnsi="Times New Roman"/>
          <w:b w:val="0"/>
          <w:i w:val="0"/>
          <w:sz w:val="24"/>
        </w:rPr>
        <w:t>Search Strategy, Research Tool Reflection, and Source 5</w:t>
      </w:r>
    </w:p>
    <w:p>
      <w:pPr>
        <w:spacing w:line="360" w:lineRule="auto" w:before="560" w:after="0"/>
        <w:jc w:val="left"/>
      </w:pPr>
    </w:p>
    <w:p>
      <w:pPr>
        <w:spacing w:line="360" w:lineRule="auto" w:before="0" w:after="0"/>
        <w:jc w:val="center"/>
      </w:pPr>
      <w:r>
        <w:rPr>
          <w:rFonts w:ascii="Times New Roman" w:hAnsi="Times New Roman"/>
          <w:b w:val="0"/>
          <w:i w:val="0"/>
          <w:sz w:val="24"/>
        </w:rPr>
        <w:t>Prepared by</w:t>
      </w:r>
    </w:p>
    <w:p>
      <w:pPr>
        <w:spacing w:line="360" w:lineRule="auto" w:before="0" w:after="0"/>
        <w:jc w:val="center"/>
      </w:pPr>
      <w:r>
        <w:rPr>
          <w:rFonts w:ascii="Times New Roman" w:hAnsi="Times New Roman"/>
          <w:b w:val="0"/>
          <w:i w:val="0"/>
          <w:sz w:val="24"/>
        </w:rPr>
        <w:t>Muhammad Jibran</w:t>
      </w:r>
    </w:p>
    <w:p>
      <w:pPr>
        <w:spacing w:line="360" w:lineRule="auto" w:before="0" w:after="0"/>
        <w:jc w:val="center"/>
      </w:pPr>
      <w:r>
        <w:rPr>
          <w:rFonts w:ascii="Times New Roman" w:hAnsi="Times New Roman"/>
          <w:b w:val="0"/>
          <w:i w:val="0"/>
          <w:sz w:val="24"/>
        </w:rPr>
        <w:t>24I-3134</w:t>
      </w:r>
    </w:p>
    <w:p>
      <w:pPr>
        <w:spacing w:line="360" w:lineRule="auto" w:before="280" w:after="0"/>
        <w:jc w:val="left"/>
      </w:pPr>
    </w:p>
    <w:p>
      <w:pPr>
        <w:spacing w:line="360" w:lineRule="auto" w:before="0" w:after="0"/>
        <w:jc w:val="center"/>
      </w:pPr>
      <w:r>
        <w:rPr>
          <w:rFonts w:ascii="Times New Roman" w:hAnsi="Times New Roman"/>
          <w:b w:val="0"/>
          <w:i w:val="0"/>
          <w:sz w:val="24"/>
        </w:rPr>
        <w:t>Section / Stream: BSE-C</w:t>
      </w:r>
    </w:p>
    <w:p>
      <w:pPr>
        <w:spacing w:line="360" w:lineRule="auto" w:before="0" w:after="0"/>
        <w:jc w:val="center"/>
      </w:pPr>
      <w:r>
        <w:rPr>
          <w:rFonts w:ascii="Times New Roman" w:hAnsi="Times New Roman"/>
          <w:b w:val="0"/>
          <w:i w:val="0"/>
          <w:sz w:val="24"/>
        </w:rPr>
        <w:t>Submission Date: 13th September 2026</w:t>
      </w:r>
    </w:p>
    <w:p>
      <w:r>
        <w:br w:type="page"/>
      </w:r>
    </w:p>
    <w:p>
      <w:pPr>
        <w:pStyle w:val="Heading1"/>
        <w:spacing w:line="360" w:lineRule="auto" w:before="200" w:after="40"/>
      </w:pPr>
      <w:r>
        <w:rPr>
          <w:rFonts w:ascii="Times New Roman" w:hAnsi="Times New Roman"/>
          <w:b/>
          <w:i w:val="0"/>
          <w:sz w:val="24"/>
        </w:rPr>
        <w:t>Research Context</w:t>
      </w:r>
    </w:p>
    <w:p>
      <w:pPr>
        <w:spacing w:line="360" w:lineRule="auto" w:before="0" w:after="0"/>
        <w:jc w:val="left"/>
      </w:pPr>
      <w:r>
        <w:rPr>
          <w:rFonts w:ascii="Times New Roman" w:hAnsi="Times New Roman"/>
          <w:b/>
          <w:i w:val="0"/>
          <w:sz w:val="24"/>
        </w:rPr>
        <w:t xml:space="preserve">Research Topic: </w:t>
      </w:r>
      <w:r>
        <w:rPr>
          <w:rFonts w:ascii="Times New Roman" w:hAnsi="Times New Roman"/>
          <w:b w:val="0"/>
          <w:i w:val="0"/>
          <w:sz w:val="24"/>
        </w:rPr>
        <w:t>The Impact of Generative AI on Academic Writing Skills of Undergraduate Students</w:t>
      </w:r>
    </w:p>
    <w:p>
      <w:pPr>
        <w:spacing w:line="360" w:lineRule="auto" w:before="0" w:after="0"/>
        <w:jc w:val="left"/>
      </w:pPr>
      <w:r>
        <w:rPr>
          <w:rFonts w:ascii="Times New Roman" w:hAnsi="Times New Roman"/>
          <w:b/>
          <w:i w:val="0"/>
          <w:sz w:val="24"/>
        </w:rPr>
        <w:t xml:space="preserve">Research Question: </w:t>
      </w:r>
      <w:r>
        <w:rPr>
          <w:rFonts w:ascii="Times New Roman" w:hAnsi="Times New Roman"/>
          <w:b w:val="0"/>
          <w:i w:val="0"/>
          <w:sz w:val="24"/>
        </w:rPr>
        <w:t>How does the use of generative AI affect the academic writing skills of undergraduate students?</w:t>
      </w:r>
    </w:p>
    <w:p>
      <w:pPr>
        <w:pStyle w:val="Heading1"/>
        <w:spacing w:line="360" w:lineRule="auto" w:before="200" w:after="40"/>
      </w:pPr>
      <w:r>
        <w:rPr>
          <w:rFonts w:ascii="Times New Roman" w:hAnsi="Times New Roman"/>
          <w:b/>
          <w:i w:val="0"/>
          <w:sz w:val="24"/>
        </w:rPr>
        <w:t>Boolean Search Strategy</w:t>
      </w:r>
    </w:p>
    <w:p>
      <w:pPr>
        <w:spacing w:line="360" w:lineRule="auto" w:before="0" w:after="0"/>
        <w:jc w:val="left"/>
      </w:pPr>
      <w:r>
        <w:rPr>
          <w:rFonts w:ascii="Times New Roman" w:hAnsi="Times New Roman"/>
          <w:b w:val="0"/>
          <w:i w:val="0"/>
          <w:sz w:val="24"/>
        </w:rPr>
        <w:t>Google Scholar was used to locate scholarly literature about generative AI and undergraduate academic writing. The following Boolean search strings were used to refine the results:</w:t>
      </w:r>
    </w:p>
    <w:p>
      <w:pPr>
        <w:spacing w:line="360" w:lineRule="auto" w:before="0" w:after="0"/>
        <w:jc w:val="left"/>
      </w:pPr>
      <w:r>
        <w:rPr>
          <w:rFonts w:ascii="Times New Roman" w:hAnsi="Times New Roman"/>
          <w:b/>
          <w:i w:val="0"/>
          <w:sz w:val="24"/>
        </w:rPr>
        <w:t xml:space="preserve">Search String 1: </w:t>
      </w:r>
      <w:r>
        <w:rPr>
          <w:rFonts w:ascii="Times New Roman" w:hAnsi="Times New Roman"/>
          <w:b w:val="0"/>
          <w:i w:val="0"/>
          <w:sz w:val="24"/>
        </w:rPr>
        <w:t>("generative AI" OR ChatGPT) AND ("academic writing" OR "writing skills") AND ("undergraduate students" OR "university students")</w:t>
      </w:r>
    </w:p>
    <w:p>
      <w:pPr>
        <w:spacing w:line="360" w:lineRule="auto" w:before="0" w:after="0"/>
        <w:jc w:val="left"/>
      </w:pPr>
      <w:r>
        <w:rPr>
          <w:rFonts w:ascii="Times New Roman" w:hAnsi="Times New Roman"/>
          <w:b/>
          <w:i w:val="0"/>
          <w:sz w:val="24"/>
        </w:rPr>
        <w:t xml:space="preserve">Search String 2: </w:t>
      </w:r>
      <w:r>
        <w:rPr>
          <w:rFonts w:ascii="Times New Roman" w:hAnsi="Times New Roman"/>
          <w:b w:val="0"/>
          <w:i w:val="0"/>
          <w:sz w:val="24"/>
        </w:rPr>
        <w:t>("generative AI" OR ChatGPT) AND "academic writing" AND "higher education"</w:t>
      </w:r>
    </w:p>
    <w:p>
      <w:pPr>
        <w:spacing w:line="360" w:lineRule="auto" w:before="0" w:after="0"/>
        <w:jc w:val="left"/>
      </w:pPr>
      <w:r>
        <w:rPr>
          <w:rFonts w:ascii="Times New Roman" w:hAnsi="Times New Roman"/>
          <w:b/>
          <w:i w:val="0"/>
          <w:sz w:val="24"/>
        </w:rPr>
        <w:t xml:space="preserve">Search String 3: </w:t>
      </w:r>
      <w:r>
        <w:rPr>
          <w:rFonts w:ascii="Times New Roman" w:hAnsi="Times New Roman"/>
          <w:b w:val="0"/>
          <w:i w:val="0"/>
          <w:sz w:val="24"/>
        </w:rPr>
        <w:t>ChatGPT AND "academic writing" AND "undergraduate students"</w:t>
      </w:r>
    </w:p>
    <w:p>
      <w:pPr>
        <w:spacing w:line="360" w:lineRule="auto" w:before="0" w:after="0"/>
        <w:jc w:val="left"/>
      </w:pPr>
      <w:r>
        <w:rPr>
          <w:rFonts w:ascii="Times New Roman" w:hAnsi="Times New Roman"/>
          <w:b w:val="0"/>
          <w:i w:val="0"/>
          <w:sz w:val="24"/>
        </w:rPr>
        <w:t>Quotation marks were used to retrieve exact phrases. AND narrowed results to sources containing the key concepts, while OR broadened the first two searches by including closely related terms. Results were screened for relevance to undergraduate writing, publication venue, date, and complete DOI metadata.</w:t>
      </w:r>
    </w:p>
    <w:p>
      <w:pPr>
        <w:pStyle w:val="Heading1"/>
        <w:spacing w:line="360" w:lineRule="auto" w:before="200" w:after="40"/>
      </w:pPr>
      <w:r>
        <w:rPr>
          <w:rFonts w:ascii="Times New Roman" w:hAnsi="Times New Roman"/>
          <w:b/>
          <w:i w:val="0"/>
          <w:sz w:val="24"/>
        </w:rPr>
        <w:t>Research Tool Reflection</w:t>
      </w:r>
    </w:p>
    <w:p>
      <w:pPr>
        <w:spacing w:line="360" w:lineRule="auto" w:before="0" w:after="0"/>
        <w:jc w:val="left"/>
      </w:pPr>
      <w:r>
        <w:rPr>
          <w:rFonts w:ascii="Times New Roman" w:hAnsi="Times New Roman"/>
          <w:b w:val="0"/>
          <w:i w:val="0"/>
          <w:sz w:val="24"/>
        </w:rPr>
        <w:t>Google Scholar was used to locate scholarly literature on generative AI, ChatGPT, academic writing, and undergraduate students. I began with the broad first search string and then used the second and third strings to focus the results on academic writing in higher education. The searches returned journal articles, conference papers, institutional publications, citation links, and author-hosted versions of papers. I selected sources by reading titles and abstracts first, then checking the original journal or publisher record for authors, year, venue, volume, article number, and DOI. Google Scholar was especially useful for discovering related studies through the “Cited by” and “Related articles” links and for quickly comparing publication dates and citation information. Its main strength was broad coverage: one search could identify recent education and writing research across several publishers. Its limitation was uneven metadata and duplicate versions. Some results linked to repository copies or incomplete records, so I did not rely on the Scholar entry alone. I verified the final source against its journal record and DOI before including it in the bibliography.</w:t>
      </w:r>
    </w:p>
    <w:p>
      <w:pPr>
        <w:pStyle w:val="Heading1"/>
        <w:spacing w:line="360" w:lineRule="auto" w:before="200" w:after="40"/>
      </w:pPr>
      <w:r>
        <w:rPr>
          <w:rFonts w:ascii="Times New Roman" w:hAnsi="Times New Roman"/>
          <w:b/>
          <w:i w:val="0"/>
          <w:sz w:val="24"/>
        </w:rPr>
        <w:t>Annotated Bibliography</w:t>
      </w:r>
    </w:p>
    <w:p>
      <w:pPr>
        <w:pStyle w:val="Heading2"/>
        <w:spacing w:line="360" w:lineRule="auto" w:before="200" w:after="40"/>
      </w:pPr>
      <w:r>
        <w:rPr>
          <w:rFonts w:ascii="Times New Roman" w:hAnsi="Times New Roman"/>
          <w:b/>
          <w:i w:val="0"/>
          <w:sz w:val="24"/>
        </w:rPr>
        <w:t>Source 5</w:t>
      </w:r>
    </w:p>
    <w:p>
      <w:pPr>
        <w:spacing w:line="360" w:lineRule="auto" w:before="0" w:after="0"/>
        <w:ind w:left="0" w:firstLine="0"/>
        <w:jc w:val="left"/>
      </w:pPr>
      <w:r>
        <w:rPr>
          <w:rFonts w:ascii="Times New Roman" w:hAnsi="Times New Roman"/>
          <w:b w:val="0"/>
          <w:i w:val="0"/>
          <w:sz w:val="24"/>
        </w:rPr>
        <w:t xml:space="preserve">Mak, M. H. C., &amp; Walasek, L. (2025). Style, sentiment, and quality of undergraduate writing in the AI era: A cross-sectional and longitudinal analysis of 4,820 authentic empirical reports. </w:t>
      </w:r>
      <w:r>
        <w:rPr>
          <w:rFonts w:ascii="Times New Roman" w:hAnsi="Times New Roman"/>
          <w:b w:val="0"/>
          <w:i/>
          <w:sz w:val="24"/>
        </w:rPr>
        <w:t>Computers and Education Artificial Intelligence, 9</w:t>
      </w:r>
      <w:r>
        <w:rPr>
          <w:rFonts w:ascii="Times New Roman" w:hAnsi="Times New Roman"/>
          <w:b w:val="0"/>
          <w:i w:val="0"/>
          <w:sz w:val="24"/>
        </w:rPr>
        <w:t>, Article 100507. https://doi.org/10.1016/j.caeai.2025.100507</w:t>
      </w:r>
    </w:p>
    <w:p>
      <w:pPr>
        <w:spacing w:line="360" w:lineRule="auto" w:before="0" w:after="0"/>
        <w:jc w:val="left"/>
      </w:pPr>
      <w:r>
        <w:rPr>
          <w:rFonts w:ascii="Times New Roman" w:hAnsi="Times New Roman"/>
          <w:b/>
          <w:i w:val="0"/>
          <w:sz w:val="24"/>
        </w:rPr>
        <w:t xml:space="preserve">Summary: </w:t>
      </w:r>
      <w:r>
        <w:rPr>
          <w:rFonts w:ascii="Times New Roman" w:hAnsi="Times New Roman"/>
          <w:b w:val="0"/>
          <w:i w:val="0"/>
          <w:sz w:val="24"/>
        </w:rPr>
        <w:t>Mak and Walasek (2025) analysed 4,820 authentic empirical reports written by 2,000 undergraduate psychology students between 2016 and 2025. Their preregistered cross-sectional and longitudinal analyses examined whether the release of ChatGPT coincided with changes in lexical markers, writing style, sentiment, grades, and feedback. After ChatGPT became available, GPT-associated lexical markers increased sharply through 2024, while reports also became more formal and positive in tone. However, these stylistic changes were not accompanied by a discernible improvement in grades or written feedback. GPT rewrites of earlier reports resembled the post-ChatGPT texts, which supports the interpretation that generative AI may be influencing the observed changes.</w:t>
      </w:r>
    </w:p>
    <w:p>
      <w:pPr>
        <w:spacing w:line="360" w:lineRule="auto" w:before="0" w:after="0"/>
        <w:jc w:val="left"/>
      </w:pPr>
      <w:r>
        <w:rPr>
          <w:rFonts w:ascii="Times New Roman" w:hAnsi="Times New Roman"/>
          <w:b/>
          <w:i w:val="0"/>
          <w:sz w:val="24"/>
        </w:rPr>
        <w:t xml:space="preserve">Evaluation: </w:t>
      </w:r>
      <w:r>
        <w:rPr>
          <w:rFonts w:ascii="Times New Roman" w:hAnsi="Times New Roman"/>
          <w:b w:val="0"/>
          <w:i w:val="0"/>
          <w:sz w:val="24"/>
        </w:rPr>
        <w:t>The authors are researchers at the University of Warwick, and the article is published in the peer-reviewed journal Computers and Education Artificial Intelligence. Its large corpus of authentic undergraduate work, preregistration, and use of both cross-sectional and longitudinal analyses strengthen its credibility. The study is highly current and directly relevant, although it cannot prove that any individual student used ChatGPT, and its psychology-course context limits generalisation to all disciplines.</w:t>
      </w:r>
    </w:p>
    <w:p>
      <w:pPr>
        <w:spacing w:line="360" w:lineRule="auto" w:before="0" w:after="0"/>
        <w:jc w:val="left"/>
      </w:pPr>
      <w:r>
        <w:rPr>
          <w:rFonts w:ascii="Times New Roman" w:hAnsi="Times New Roman"/>
          <w:b/>
          <w:i w:val="0"/>
          <w:sz w:val="24"/>
        </w:rPr>
        <w:t xml:space="preserve">Usefulness: </w:t>
      </w:r>
      <w:r>
        <w:rPr>
          <w:rFonts w:ascii="Times New Roman" w:hAnsi="Times New Roman"/>
          <w:b w:val="0"/>
          <w:i w:val="0"/>
          <w:sz w:val="24"/>
        </w:rPr>
        <w:t>This source provides evidence for a balanced answer to the research question. It can support the point that generative AI may change surface features of undergraduate academic writing without necessarily improving independently assessed writing quality. It is particularly useful for discussing the risks of equating more formal language with stronger writing skills and for recommending guided, transparent use of AI rather than uncritical reliance.</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