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Part 4: Five Largest Prediction Errors</w:t>
      </w:r>
    </w:p>
    <w:p>
      <w:pPr>
        <w:jc w:val="center"/>
      </w:pPr>
      <w:r>
        <w:rPr>
          <w:rFonts w:ascii="Arial" w:hAnsi="Arial"/>
          <w:i/>
          <w:sz w:val="18"/>
        </w:rPr>
        <w:t>Table X. Five largest out-of-fold prediction errors from the Linear Regression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rHeight w:val="504" w:hRule="atLeast"/>
        </w:trPr>
        <w:tc>
          <w:tcPr>
            <w:tcW w:type="dxa" w:w="1800"/>
            <w:vAlign w:val="center"/>
            <w:shd w:fill="D9EAF7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Suburb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Property Type</w:t>
            </w:r>
          </w:p>
        </w:tc>
        <w:tc>
          <w:tcPr>
            <w:tcW w:type="dxa" w:w="1843"/>
            <w:vAlign w:val="center"/>
            <w:shd w:fill="D9EAF7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Actual Price</w:t>
            </w:r>
          </w:p>
        </w:tc>
        <w:tc>
          <w:tcPr>
            <w:tcW w:type="dxa" w:w="2088"/>
            <w:vAlign w:val="center"/>
            <w:shd w:fill="D9EAF7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Predicted Price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Error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Error %</w:t>
            </w:r>
          </w:p>
        </w:tc>
      </w:tr>
      <w:tr>
        <w:trPr>
          <w:trHeight w:val="504" w:hRule="atLeast"/>
        </w:trP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Mosman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House</w:t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$8,700,000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$4,878,762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-$3,821,238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43.9%</w:t>
            </w:r>
          </w:p>
        </w:tc>
      </w:tr>
      <w:tr>
        <w:trPr>
          <w:trHeight w:val="504" w:hRule="atLeast"/>
        </w:trP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Parramatta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House</w:t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$2,300,000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$1,142,434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-$1,157,566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50.3%</w:t>
            </w:r>
          </w:p>
        </w:tc>
      </w:tr>
      <w:tr>
        <w:trPr>
          <w:trHeight w:val="504" w:hRule="atLeast"/>
        </w:trP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Mount Druitt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House</w:t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$1,105,000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$2,058,198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+$953,198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86.3%</w:t>
            </w:r>
          </w:p>
        </w:tc>
      </w:tr>
      <w:tr>
        <w:trPr>
          <w:trHeight w:val="504" w:hRule="atLeast"/>
        </w:trP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Mosman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Retirement</w:t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$3,800,000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$3,132,634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-$667,366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17.6%</w:t>
            </w:r>
          </w:p>
        </w:tc>
      </w:tr>
      <w:tr>
        <w:trPr>
          <w:trHeight w:val="504" w:hRule="atLeast"/>
        </w:trP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Mosman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Unit</w:t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$1,450,000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$830,204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-$619,796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42.7%</w:t>
            </w:r>
          </w:p>
        </w:tc>
      </w:tr>
    </w:tbl>
    <w:p>
      <w:pPr>
        <w:spacing w:before="140"/>
      </w:pPr>
      <w:r>
        <w:rPr>
          <w:rFonts w:ascii="Arial" w:hAnsi="Arial"/>
          <w:b/>
          <w:sz w:val="18"/>
        </w:rPr>
        <w:t xml:space="preserve">Note: </w:t>
      </w:r>
      <w:r>
        <w:rPr>
          <w:rFonts w:ascii="Arial" w:hAnsi="Arial"/>
          <w:sz w:val="18"/>
        </w:rPr>
        <w:t>A negative error means the model underpredicted the sale price, while a positive error means it overpredicted the price.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