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2        Date: Tue Jun 24 01:00:00 CET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ech3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 xml:space="preserve"> ( cmc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76J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