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21        Date: Sat Jun 07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cm123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 twin pin  ( cpw1 )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4J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