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主策略说明报告（2026-09-24 版）</w:t>
      </w:r>
    </w:p>
    <w:p>
      <w:pPr>
        <w:pStyle w:val="Heading1"/>
      </w:pPr>
      <w:r>
        <w:t>一、策略总览</w:t>
      </w:r>
    </w:p>
    <w:p>
      <w:r>
        <w:t>架构：单轨双腿——股票主策略 + CB 双低腿，固定 40/60 配比、月频再平衡。资金：股票 40 万 + CB 60 万；打新底仓（511360）为独立资金线。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对象</w:t>
            </w:r>
          </w:p>
        </w:tc>
        <w:tc>
          <w:tcPr>
            <w:tcW w:type="dxa" w:w="2160"/>
          </w:tcPr>
          <w:p>
            <w:r>
              <w:t>年化</w:t>
            </w:r>
          </w:p>
        </w:tc>
        <w:tc>
          <w:tcPr>
            <w:tcW w:type="dxa" w:w="2160"/>
          </w:tcPr>
          <w:p>
            <w:r>
              <w:t>夏普</w:t>
            </w:r>
          </w:p>
        </w:tc>
        <w:tc>
          <w:tcPr>
            <w:tcW w:type="dxa" w:w="2160"/>
          </w:tcPr>
          <w:p>
            <w:r>
              <w:t>回撤</w:t>
            </w:r>
          </w:p>
        </w:tc>
      </w:tr>
      <w:tr>
        <w:tc>
          <w:tcPr>
            <w:tcW w:type="dxa" w:w="2160"/>
          </w:tcPr>
          <w:p>
            <w:r>
              <w:t>40/60 组合（月频再平衡）</w:t>
            </w:r>
          </w:p>
        </w:tc>
        <w:tc>
          <w:tcPr>
            <w:tcW w:type="dxa" w:w="2160"/>
          </w:tcPr>
          <w:p>
            <w:r>
              <w:t>+11.7%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  <w:tc>
          <w:tcPr>
            <w:tcW w:type="dxa" w:w="2160"/>
          </w:tcPr>
          <w:p>
            <w:r>
              <w:t>−13.4%</w:t>
            </w:r>
          </w:p>
        </w:tc>
      </w:tr>
      <w:tr>
        <w:tc>
          <w:tcPr>
            <w:tcW w:type="dxa" w:w="2160"/>
          </w:tcPr>
          <w:p>
            <w:r>
              <w:t>CB 双低腿（单独）</w:t>
            </w:r>
          </w:p>
        </w:tc>
        <w:tc>
          <w:tcPr>
            <w:tcW w:type="dxa" w:w="2160"/>
          </w:tcPr>
          <w:p>
            <w:r>
              <w:t>≈+15%</w:t>
            </w:r>
          </w:p>
        </w:tc>
        <w:tc>
          <w:tcPr>
            <w:tcW w:type="dxa" w:w="2160"/>
          </w:tcPr>
          <w:p>
            <w:r>
              <w:t>1.39（10bp 成本档）</w:t>
            </w:r>
          </w:p>
        </w:tc>
        <w:tc>
          <w:tcPr>
            <w:tcW w:type="dxa" w:w="2160"/>
          </w:tcPr>
          <w:p>
            <w:r>
              <w:t>−21.2%</w:t>
            </w:r>
          </w:p>
        </w:tc>
      </w:tr>
      <w:tr>
        <w:tc>
          <w:tcPr>
            <w:tcW w:type="dxa" w:w="2160"/>
          </w:tcPr>
          <w:p>
            <w:r>
              <w:t>股票主策略 A3</w:t>
            </w:r>
          </w:p>
        </w:tc>
        <w:tc>
          <w:tcPr>
            <w:tcW w:type="dxa" w:w="2160"/>
          </w:tcPr>
          <w:p>
            <w:r>
              <w:t>+4.0~4.4%</w:t>
            </w:r>
          </w:p>
        </w:tc>
        <w:tc>
          <w:tcPr>
            <w:tcW w:type="dxa" w:w="2160"/>
          </w:tcPr>
          <w:p>
            <w:r>
              <w:t>0.28~0.32</w:t>
            </w:r>
          </w:p>
        </w:tc>
        <w:tc>
          <w:tcPr>
            <w:tcW w:type="dxa" w:w="2160"/>
          </w:tcPr>
          <w:p>
            <w:r>
              <w:t>−12.6~−13.3%</w:t>
            </w:r>
          </w:p>
        </w:tc>
      </w:tr>
      <w:tr>
        <w:tc>
          <w:tcPr>
            <w:tcW w:type="dxa" w:w="2160"/>
          </w:tcPr>
          <w:p>
            <w:r>
              <w:t>口径</w:t>
            </w:r>
          </w:p>
        </w:tc>
        <w:tc>
          <w:tcPr>
            <w:tcW w:type="dxa" w:w="2160"/>
          </w:tcPr>
          <w:p>
            <w:r>
              <w:t>活跃窗口 2019-02~2026-09，V3 剔404 口径；股票腿为价格口径（不含分红，+2.3pp）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关键定性：组合收益来源 = CB 腿 + 分散化（ρ≈0.21）+ 月频再平衡；股票选股 alpha 与 0 不可分辨；择时（动态配比）为负贡献（−0.55 夏普），已弃用。</w:t>
      </w:r>
    </w:p>
    <w:p>
      <w:pPr>
        <w:pStyle w:val="Heading1"/>
      </w:pPr>
      <w:r>
        <w:t>二、股票腿（Track A）</w:t>
      </w:r>
    </w:p>
    <w:p>
      <w:r>
        <w:t>选股：全市场成交额 TOP30（pool30），等权，月调仓。择时：MA200 五档仓位（纯函数，无滞后带）。退出：MA10 破位出清（豁免：V反/RSI超卖/浮盈+50% 改 MA20）。</w:t>
      </w:r>
    </w:p>
    <w:p>
      <w:r>
        <w:t>当前状态：熊档，持仓 0（引擎熊档语义 30% 与实盘 0 的差异为已登记的开放问题）。</w:t>
      </w:r>
    </w:p>
    <w:p>
      <w:pPr>
        <w:pStyle w:val="Heading1"/>
      </w:pPr>
      <w:r>
        <w:t>三、CB 腿（Track CB）</w:t>
      </w:r>
    </w:p>
    <w:p>
      <w:r>
        <w:t>策略：双低（价格 + 溢价率×100）最低 25 只，等权，月调仓（每月 15 日 + 月末倒数第二）。</w:t>
      </w:r>
    </w:p>
    <w:p>
      <w:r>
        <w:t>过滤（共享唯一实现 data/cb_select.py，信号与回测同一份代码）：①评级 ≥A- ②规模 ≥0.5 亿 ③强赎区排除（价&gt;130 且溢价&lt;5%）④404 退市板块排除 ⑤停牌过滤：日线最新 bar ≤10 个交易日 + 新浪实时成交量=0 兜底 ⑥临期剔除 N=60（距最后交易日 &lt;60 天剔除）⑦禁买 M=120（60~120 天缓冲带：已持有不加仓、未持有禁买）。</w:t>
      </w:r>
    </w:p>
    <w:p>
      <w:r>
        <w:t>执行：差量幂等（目标−持仓），买入张数取整 10 整数倍（47→50），当日废单买入不重试，滑点按订单成交回报口径。</w:t>
      </w:r>
    </w:p>
    <w:p>
      <w:pPr>
        <w:pStyle w:val="Heading1"/>
      </w:pPr>
      <w:r>
        <w:t>四、执行链与档位机制</w:t>
      </w:r>
    </w:p>
    <w:p>
      <w:r>
        <w:t>链路：Linux 信号（14:25 股票 / 14:28 CB）→ Windows fetch_and_execute → QMT。执行前预检：域隔离 / 价格新鲜度 / 资金口径（过渡期豁免仅限人工触发）。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档位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行为</w:t>
            </w:r>
          </w:p>
        </w:tc>
      </w:tr>
      <w:tr>
        <w:tc>
          <w:tcPr>
            <w:tcW w:type="dxa" w:w="2880"/>
          </w:tcPr>
          <w:p>
            <w:r>
              <w:t>档 1 免确认</w:t>
            </w:r>
          </w:p>
        </w:tc>
        <w:tc>
          <w:tcPr>
            <w:tcW w:type="dxa" w:w="2880"/>
          </w:tcPr>
          <w:p>
            <w:r>
              <w:t>单笔 &lt;2 万 且 券非新增</w:t>
            </w:r>
          </w:p>
        </w:tc>
        <w:tc>
          <w:tcPr>
            <w:tcW w:type="dxa" w:w="2880"/>
          </w:tcPr>
          <w:p>
            <w:r>
              <w:t>链直接执行</w:t>
            </w:r>
          </w:p>
        </w:tc>
      </w:tr>
      <w:tr>
        <w:tc>
          <w:tcPr>
            <w:tcW w:type="dxa" w:w="2880"/>
          </w:tcPr>
          <w:p>
            <w:r>
              <w:t>档 2 清单确认</w:t>
            </w:r>
          </w:p>
        </w:tc>
        <w:tc>
          <w:tcPr>
            <w:tcW w:type="dxa" w:w="2880"/>
          </w:tcPr>
          <w:p>
            <w:r>
              <w:t>其余（默认）</w:t>
            </w:r>
          </w:p>
        </w:tc>
        <w:tc>
          <w:tcPr>
            <w:tcW w:type="dxa" w:w="2880"/>
          </w:tcPr>
          <w:p>
            <w:r>
              <w:t>先出清单（逐笔明细/差量对照/异常标记），人工审阅后 --approve 执行</w:t>
            </w:r>
          </w:p>
        </w:tc>
      </w:tr>
      <w:tr>
        <w:tc>
          <w:tcPr>
            <w:tcW w:type="dxa" w:w="2880"/>
          </w:tcPr>
          <w:p>
            <w:r>
              <w:t>档 3 逐笔人工</w:t>
            </w:r>
          </w:p>
        </w:tc>
        <w:tc>
          <w:tcPr>
            <w:tcW w:type="dxa" w:w="2880"/>
          </w:tcPr>
          <w:p>
            <w:r>
              <w:t>总交易额&gt;30万 / 新增&gt;8只 / 单笔&gt;5万 / 闲置资金首次部署（任一）</w:t>
            </w:r>
          </w:p>
        </w:tc>
        <w:tc>
          <w:tcPr>
            <w:tcW w:type="dxa" w:w="2880"/>
          </w:tcPr>
          <w:p>
            <w:r>
              <w:t>拒绝自动执行，按清单逐笔人工下单</w:t>
            </w:r>
          </w:p>
        </w:tc>
      </w:tr>
    </w:tbl>
    <w:p>
      <w:r>
        <w:t>原则：确认的对象是清单，不是“要不要跑”——没有清单就没有执行。</w:t>
      </w:r>
    </w:p>
    <w:p>
      <w:pPr>
        <w:pStyle w:val="Heading1"/>
      </w:pPr>
      <w:r>
        <w:t>五、风控红线</w:t>
      </w:r>
    </w:p>
    <w:p>
      <w:pPr>
        <w:pStyle w:val="ListBullet"/>
      </w:pPr>
      <w:r>
        <w:t>单只仓位上限：Track A 5%；CB 等权（1/25，风控单券上限 5%×轨道资金）。</w:t>
      </w:r>
    </w:p>
    <w:p>
      <w:pPr>
        <w:pStyle w:val="ListBullet"/>
      </w:pPr>
      <w:r>
        <w:t>行业/板块集中度上限：30%。</w:t>
      </w:r>
    </w:p>
    <w:p>
      <w:pPr>
        <w:pStyle w:val="ListBullet"/>
      </w:pPr>
      <w:r>
        <w:t>单笔订单金额上限：10 万（防错单）。</w:t>
      </w:r>
    </w:p>
    <w:p>
      <w:pPr>
        <w:pStyle w:val="ListBullet"/>
      </w:pPr>
      <w:r>
        <w:t>委托价必须为价位（tick）整数倍（qmt_client 单一收口）。</w:t>
      </w:r>
    </w:p>
    <w:p>
      <w:pPr>
        <w:pStyle w:val="ListBullet"/>
      </w:pPr>
      <w:r>
        <w:t>涨停禁止买入、跌停禁止卖出。</w:t>
      </w:r>
    </w:p>
    <w:p>
      <w:pPr>
        <w:pStyle w:val="ListBullet"/>
      </w:pPr>
      <w:r>
        <w:t>账户回撤熔断 15% → B 方案：停止新开仓+告警人工确认，持仓按 MA10 纪律退出。</w:t>
      </w:r>
    </w:p>
    <w:p>
      <w:pPr>
        <w:pStyle w:val="Heading1"/>
      </w:pPr>
      <w:r>
        <w:t>六、当前实盘状态（生成时点实读）</w:t>
      </w:r>
    </w:p>
    <w:p>
      <w:r>
        <w:t>CB 腿：信号 12 只（capital 口径 600000 元，过渡期部分部署）；账户持仓 12 只、市值约 260,169 元（差量已对齐）。股票腿：熊档 0 持仓。打新底仓 511360 独立。</w:t>
      </w:r>
    </w:p>
    <w:p>
      <w:r>
        <w:t>近期事件：09-24 已清仓 4 只临期券（128134/110075/113605/110076）；停牌 8 只 + CC 评级 1 只已剔除出信号；09-30 调仓日将执行大换血。</w:t>
      </w:r>
    </w:p>
    <w:p>
      <w:pPr>
        <w:pStyle w:val="Heading1"/>
      </w:pPr>
      <w:r>
        <w:t>七、09-30 调仓计划（预览）</w:t>
      </w:r>
    </w:p>
    <w:p>
      <w:r>
        <w:t>预览（09-24 机器值，模拟调仓日三层过滤走查）：预计卖出 5 笔、买入 19 笔，总交易额约 51.6 万元，档位=档 3 逐笔人工（总&gt;30万+新增24只+闲置资金首次部署）。当日以 --plan-only 正式清单为准。该次调仓含一次性成分修正（快照重建+三层过滤+评级/强赎共享过滤首生效），换手成本不计入常态统计，执行需人工确认。</w:t>
      </w:r>
    </w:p>
    <w:p>
      <w:pPr>
        <w:pStyle w:val="Heading1"/>
      </w:pPr>
      <w:r>
        <w:t>八、近期关键修复与闸门（09-22~09-24）</w:t>
      </w:r>
    </w:p>
    <w:p>
      <w:pPr>
        <w:pStyle w:val="ListBullet"/>
      </w:pPr>
      <w:r>
        <w:t>CB 废单机制定案：四类（数量非整手/债券停牌/仿真源冻结/09-01 残留），零笔归因价格偏离。</w:t>
      </w:r>
    </w:p>
    <w:p>
      <w:pPr>
        <w:pStyle w:val="ListBullet"/>
      </w:pPr>
      <w:r>
        <w:t>停牌污染审计：V3 时点新鲜度口径 = 对外参考值；甲乙丙裁定=甲（可交易池补足 25 只）。</w:t>
      </w:r>
    </w:p>
    <w:p>
      <w:pPr>
        <w:pStyle w:val="ListBullet"/>
      </w:pPr>
      <w:r>
        <w:t>档位分流机制：档1/2/3，先出清单再执行（今日“以为4笔实际7笔”从机制上关死）。</w:t>
      </w:r>
    </w:p>
    <w:p>
      <w:pPr>
        <w:pStyle w:val="ListBullet"/>
      </w:pPr>
      <w:r>
        <w:t>到期三态：N=60 剔除 / M=120 禁买 / 60~120 缓冲带持有不加仓（规则驱动，无手工特例）。</w:t>
      </w:r>
    </w:p>
    <w:p>
      <w:pPr>
        <w:pStyle w:val="ListBullet"/>
      </w:pPr>
      <w:r>
        <w:t>滑点口径修复：成交价用订单成交回报（T+5min 持仓成本价的假滑点 +4% 虚警已结案）。</w:t>
      </w:r>
    </w:p>
    <w:p>
      <w:pPr>
        <w:pStyle w:val="ListBullet"/>
      </w:pPr>
      <w:r>
        <w:t>闸门二十一：信号与回测共用过滤代码；闸门二十二：数据边界不是世界事实。</w:t>
      </w:r>
    </w:p>
    <w:p>
      <w:r>
        <w:br/>
        <w:t>报告生成：2026-09-24。数字口径：组合/CB/股票数字为账本定案机器值；持仓/信号数为生成时点实读。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