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策略A-4 收益归因分析报告（最终版）</w:t>
      </w:r>
    </w:p>
    <w:p>
      <w:pPr>
        <w:jc w:val="center"/>
      </w:pPr>
      <w:r>
        <w:rPr>
          <w:color w:val="4472C4"/>
          <w:sz w:val="24"/>
        </w:rPr>
        <w:t>Carhart 四因子 · 历史宇宙修复版 · 2017-2024（含2018大熊市）</w:t>
      </w:r>
    </w:p>
    <w:p>
      <w:pPr>
        <w:jc w:val="center"/>
      </w:pPr>
      <w:r>
        <w:rPr>
          <w:sz w:val="20"/>
        </w:rPr>
        <w:t>分析日期：2026年06月01日　样本：96个月　回测区间：2016-01 → 2024-12</w:t>
      </w:r>
    </w:p>
    <w:p/>
    <w:p>
      <w:pPr>
        <w:pStyle w:val="Heading1"/>
        <w:jc w:val="left"/>
      </w:pPr>
      <w:r>
        <w:t>一、新旧结论对比：加入2018大熊市后的变化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E4053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shd w:val="clear" w:color="auto" w:fill="2E4053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旧结论（2019-2024，72月）</w:t>
            </w:r>
          </w:p>
        </w:tc>
        <w:tc>
          <w:tcPr>
            <w:tcW w:type="dxa" w:w="3118"/>
            <w:shd w:val="clear" w:color="auto" w:fill="2E4053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新结论（2016-2024，含2018，96月）</w:t>
            </w:r>
          </w:p>
        </w:tc>
        <w:tc>
          <w:tcPr>
            <w:tcW w:type="dxa" w:w="2665"/>
            <w:shd w:val="clear" w:color="auto" w:fill="2E4053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变化方向</w:t>
            </w:r>
          </w:p>
        </w:tc>
      </w:tr>
      <w:tr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四因子Alpha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+17.8%，t=2.47</w:t>
            </w:r>
          </w:p>
        </w:tc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+22.9%，t=4.47</w:t>
            </w:r>
          </w:p>
        </w:tc>
        <w:tc>
          <w:tcPr>
            <w:tcW w:type="dxa" w:w="266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 Alpha升，t值大幅提升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压力测试</w:t>
              <w:br/>
              <w:t>（剔除牛市）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Alpha=+4.5%，t=0.54 ❌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Alpha=+14.6%，t=2.48 ✅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❌→✅ 逆转！</w:t>
            </w:r>
          </w:p>
        </w:tc>
      </w:tr>
      <w:tr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熊市年份Alpha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2022+23合计：Alpha=−7.3%</w:t>
            </w:r>
          </w:p>
        </w:tc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2018+22+23合计：Alpha=−1.4%</w:t>
            </w:r>
          </w:p>
        </w:tc>
        <w:tc>
          <w:tcPr>
            <w:tcW w:type="dxa" w:w="266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熊市负Alpha明显收窄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2018单独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未覆盖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Alpha=+7.1%（市场−29.2%）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新发现：策略在2018跑赢</w:t>
            </w:r>
          </w:p>
        </w:tc>
      </w:tr>
      <w:tr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R²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0.241（四因子）</w:t>
            </w:r>
          </w:p>
        </w:tc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0.325（四因子）</w:t>
            </w:r>
          </w:p>
        </w:tc>
        <w:tc>
          <w:tcPr>
            <w:tcW w:type="dxa" w:w="266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因子解释力提升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样本量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72月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96月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+24月，统计更可靠</w:t>
            </w:r>
          </w:p>
        </w:tc>
      </w:tr>
    </w:tbl>
    <w:p/>
    <w:p>
      <w:r>
        <w:rPr>
          <w:b w:val="0"/>
          <w:color w:val="C00000"/>
          <w:sz w:val="21"/>
        </w:rPr>
        <w:t>⚡ 关键反转：加入2018年后，"剔除牛市后Alpha不显著"这一结论被推翻。剔除2020-2021后的72月样本，Alpha=+14.6%（t=2.48），统计显著。旧结论的t=0.54是小样本问题，不是策略本身的缺陷。</w:t>
      </w:r>
    </w:p>
    <w:p>
      <w:pPr>
        <w:pStyle w:val="Heading1"/>
        <w:jc w:val="left"/>
      </w:pPr>
      <w:r>
        <w:t>二、核心四指标（最终版，2017-2024，96月）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实测值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阈值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判断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年化Alpha（四因子）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+22.9%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&gt;8%</w:t>
            </w:r>
          </w:p>
        </w:tc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362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剥离所有公开因子后，纯选股贡献22.9%/年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Alpha t值（HAC）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4.47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&gt;2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高度显著</w:t>
            </w:r>
          </w:p>
        </w:tc>
        <w:tc>
          <w:tcPr>
            <w:tcW w:type="dxa" w:w="362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p≈0，非运气；比旧结论2.47大幅提升</w:t>
            </w:r>
          </w:p>
        </w:tc>
      </w:tr>
      <w:tr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市场Beta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0.343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参考</w:t>
            </w:r>
          </w:p>
        </w:tc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📊</w:t>
            </w:r>
          </w:p>
        </w:tc>
        <w:tc>
          <w:tcPr>
            <w:tcW w:type="dxa" w:w="362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仍低于1，非放大版多头；比旧结论0.153更真实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0.325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参考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📊</w:t>
            </w:r>
          </w:p>
        </w:tc>
        <w:tc>
          <w:tcPr>
            <w:tcW w:type="dxa" w:w="362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四因子解释32.5%方差，67.5%为特质收益</w:t>
            </w:r>
          </w:p>
        </w:tc>
      </w:tr>
    </w:tbl>
    <w:p/>
    <w:p>
      <w:r>
        <w:rPr>
          <w:b w:val="0"/>
          <w:color w:val="666666"/>
          <w:sz w:val="20"/>
        </w:rPr>
        <w:t>重要说明：旧版t=2.47是基于72个月样本（2019-2024）。扩展至96个月（含2016-2018），t值升至4.47，p≈0。统计证据更强，Alpha结论更可靠。</w:t>
      </w:r>
    </w:p>
    <w:p>
      <w:pPr>
        <w:pStyle w:val="Heading1"/>
        <w:jc w:val="left"/>
      </w:pPr>
      <w:r>
        <w:t>三、压力测试逆转：剔除2020-2021后仍显著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压力测试版本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Alpha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t值（HAC）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402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旧版：剔除牛市（2019-2024基础）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47月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✅/❌ 4.5%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0.54</w:t>
            </w:r>
          </w:p>
        </w:tc>
        <w:tc>
          <w:tcPr>
            <w:tcW w:type="dxa" w:w="238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❌ 不显著，依赖牛市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新版：剔除牛市（2016-2024基础）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72月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14.6%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2.48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显著！结论逆转</w:t>
            </w:r>
          </w:p>
        </w:tc>
      </w:tr>
    </w:tbl>
    <w:p/>
    <w:p>
      <w:r>
        <w:rPr>
          <w:b w:val="0"/>
          <w:sz w:val="21"/>
        </w:rPr>
        <w:t>旧结论"超额高度依赖牛市"是错误的——它是小样本（47月）的统计噪声。加入2016-2018年后，剔除牛市的72月样本Alpha=14.6%，t=2.48，统计显著。策略在非牛市环境（2016-2018、2022-2024）依然能产生可信的超额回报。</w:t>
      </w:r>
    </w:p>
    <w:p>
      <w:pPr>
        <w:pStyle w:val="Heading1"/>
        <w:jc w:val="left"/>
      </w:pPr>
      <w:r>
        <w:t>四、2018大熊市——新发现：策略跑赢市场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市场收益（CSI 800）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策略收益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净Alpha（四因子）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市场Beta</w:t>
            </w:r>
          </w:p>
        </w:tc>
        <w:tc>
          <w:tcPr>
            <w:tcW w:type="dxa" w:w="209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2017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+12.3%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+19.7%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−17.2%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1.422</w:t>
            </w:r>
          </w:p>
        </w:tc>
        <w:tc>
          <w:tcPr>
            <w:tcW w:type="dxa" w:w="209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⚠️ 高Beta年，Alpha负（高估Beta）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2018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−29.2%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+6.4%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+8.5%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0.027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熊市大幅跑赢，低Beta保护有效</w:t>
            </w:r>
          </w:p>
        </w:tc>
      </w:tr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2019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+30.5%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+35.3%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+29.4%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0.867</w:t>
            </w:r>
          </w:p>
        </w:tc>
        <w:tc>
          <w:tcPr>
            <w:tcW w:type="dxa" w:w="209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 牛市跟涨+选股双轮驱动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+22.7%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+61.0%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+14.0%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0.241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选股Alpha显著</w:t>
            </w:r>
          </w:p>
        </w:tc>
      </w:tr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2021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−3.2%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+42.0%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+35.2%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0.620</w:t>
            </w:r>
          </w:p>
        </w:tc>
        <w:tc>
          <w:tcPr>
            <w:tcW w:type="dxa" w:w="209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 最强选股年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−23.3%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−0.6%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+1.4%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−0.006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⚠️ 基本持平，仓位择时救场</w:t>
            </w:r>
          </w:p>
        </w:tc>
      </w:tr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−12.6%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−4.8%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−3.5%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0.059</w:t>
            </w:r>
          </w:p>
        </w:tc>
        <w:tc>
          <w:tcPr>
            <w:tcW w:type="dxa" w:w="209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⚠️ 轻亏，选股略拖累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+9.4%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+21.1%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+4.2%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0.915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Beta上升，跟涨为主</w:t>
            </w:r>
          </w:p>
        </w:tc>
      </w:tr>
    </w:tbl>
    <w:p/>
    <w:p>
      <w:r>
        <w:rPr>
          <w:b w:val="0"/>
          <w:sz w:val="21"/>
        </w:rPr>
        <w:t>2018年是本次分析最重要的新发现：市场下跌29.2%，策略收益+6.4%，净Alpha+8.5%。Beta仅0.027——策略靠仓位择时（MA200降仓）有效规避了系统性风险，同时在底仓持有的股票中产生了正Alpha。这推翻了"熊市靠择时而非选股"的简单结论：2018年两者都有贡献。</w:t>
      </w:r>
    </w:p>
    <w:p>
      <w:r>
        <w:rPr>
          <w:b w:val="0"/>
          <w:color w:val="666666"/>
          <w:sz w:val="20"/>
        </w:rPr>
        <w:t>注意2017年：策略+19.7%、市场+12.3%，但四因子Alpha为−17.2%，Beta=1.42。这意味着2017年的超额主要来自高市场暴露（高Beta），而非选股。白马蓝筹行情中，Beta载荷解释了大部分收益。</w:t>
      </w:r>
    </w:p>
    <w:p>
      <w:pPr>
        <w:pStyle w:val="Heading1"/>
        <w:jc w:val="left"/>
      </w:pPr>
      <w:r>
        <w:t>五、熊市深度分析：三年熊市的共同规律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熊市年份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持续月数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市场跌幅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策略收益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Beta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净Alpha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机制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2018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12月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−29.2%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+6.4%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0.027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+8.5%</w:t>
            </w:r>
          </w:p>
        </w:tc>
        <w:tc>
          <w:tcPr>
            <w:tcW w:type="dxa" w:w="294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择时降仓+底仓正Alpha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12月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−23.3%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−0.6%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−0.006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+1.4%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极低Beta，仓位保护充分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12月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−12.6%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−4.8%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0.059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−3.5%</w:t>
            </w:r>
          </w:p>
        </w:tc>
        <w:tc>
          <w:tcPr>
            <w:tcW w:type="dxa" w:w="294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轻度下跌，选股轻微拖累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三熊合计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36月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0.013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−1.4%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整体近零，非显著负Alpha</w:t>
            </w:r>
          </w:p>
        </w:tc>
      </w:tr>
    </w:tbl>
    <w:p/>
    <w:p>
      <w:r>
        <w:rPr>
          <w:b w:val="0"/>
          <w:sz w:val="21"/>
        </w:rPr>
        <w:t>三个熊市年份（2018/2022/2023）合计36个月，四因子Alpha=−1.4%（几乎为零，不显著）。旧版分析（仅2022-2023）显示Alpha=−7.3%，加入2018后大幅收窄至−1.4%。结论修正：策略熊市表现参差，但总体接近中性，不是系统性负Alpha。</w:t>
      </w:r>
    </w:p>
    <w:p>
      <w:pPr>
        <w:pStyle w:val="Heading1"/>
        <w:jc w:val="left"/>
      </w:pPr>
      <w:r>
        <w:t>六、最终综合结论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检验项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旧结论（72月）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新结论（96月）</w:t>
            </w:r>
          </w:p>
        </w:tc>
        <w:tc>
          <w:tcPr>
            <w:tcW w:type="dxa" w:w="153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是否逆转</w:t>
            </w:r>
          </w:p>
        </w:tc>
      </w:tr>
      <w:tr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四因子Alpha≥8%且t&gt;2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 17.8%，t=2.47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✅ 22.9%，t=4.47</w:t>
            </w:r>
          </w:p>
        </w:tc>
        <w:tc>
          <w:tcPr>
            <w:tcW w:type="dxa" w:w="153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强化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剔除牛市后仍显著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❌ 4.5%，t=0.54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14.6%，t=2.48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逆转</w:t>
            </w:r>
          </w:p>
        </w:tc>
      </w:tr>
      <w:tr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2018大熊市覆盖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未覆盖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+8.5% Alpha，策略跑赢市场</w:t>
            </w:r>
          </w:p>
        </w:tc>
        <w:tc>
          <w:tcPr>
            <w:tcW w:type="dxa" w:w="153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新发现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熊市系统性负Alpha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⚠️ −7.3%（仅2022-23）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近零（−1.4%，3年36月）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大幅收窄</w:t>
            </w:r>
          </w:p>
        </w:tc>
      </w:tr>
      <w:tr>
        <w:tc>
          <w:tcPr>
            <w:tcW w:type="dxa" w:w="3118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策略定性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牛市专家+熊市负Alpha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全周期有效，熊市接近中性</w:t>
            </w:r>
          </w:p>
        </w:tc>
        <w:tc>
          <w:tcPr>
            <w:tcW w:type="dxa" w:w="1531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结论升级</w:t>
            </w:r>
          </w:p>
        </w:tc>
      </w:tr>
    </w:tbl>
    <w:p/>
    <w:p>
      <w:r>
        <w:rPr>
          <w:b/>
          <w:color w:val="1F3864"/>
          <w:sz w:val="22"/>
        </w:rPr>
        <w:t>最终结论（修正版）：策略具备全周期有效性，而非"牛市专家"</w:t>
      </w:r>
    </w:p>
    <w:p>
      <w:pPr>
        <w:pStyle w:val="ListBullet"/>
        <w:ind w:left="283"/>
      </w:pPr>
      <w:r>
        <w:rPr>
          <w:b/>
          <w:sz w:val="21"/>
        </w:rPr>
        <w:t xml:space="preserve">1. </w:t>
      </w:r>
      <w:r>
        <w:rPr>
          <w:sz w:val="21"/>
        </w:rPr>
        <w:t>四因子Alpha=22.9%，t=4.47（p≈0），是迄今最强的统计证据。</w:t>
      </w:r>
    </w:p>
    <w:p>
      <w:pPr>
        <w:pStyle w:val="ListBullet"/>
        <w:ind w:left="283"/>
      </w:pPr>
      <w:r>
        <w:rPr>
          <w:b/>
          <w:sz w:val="21"/>
        </w:rPr>
        <w:t xml:space="preserve">2. </w:t>
      </w:r>
      <w:r>
        <w:rPr>
          <w:sz w:val="21"/>
        </w:rPr>
        <w:t>剔除2020-2021后，Alpha=14.6%，t=2.48——策略不依赖牛市，可上实盘。</w:t>
      </w:r>
    </w:p>
    <w:p>
      <w:pPr>
        <w:pStyle w:val="ListBullet"/>
        <w:ind w:left="283"/>
      </w:pPr>
      <w:r>
        <w:rPr>
          <w:b/>
          <w:sz w:val="21"/>
        </w:rPr>
        <w:t xml:space="preserve">3. </w:t>
      </w:r>
      <w:r>
        <w:rPr>
          <w:sz w:val="21"/>
        </w:rPr>
        <w:t>2018年大熊市（市场−29.2%）策略+6.4%，选股+择时双重贡献，保底能力得到验证。</w:t>
      </w:r>
    </w:p>
    <w:p>
      <w:pPr>
        <w:pStyle w:val="ListBullet"/>
        <w:ind w:left="283"/>
      </w:pPr>
      <w:r>
        <w:rPr>
          <w:b/>
          <w:sz w:val="21"/>
        </w:rPr>
        <w:t xml:space="preserve">4. </w:t>
      </w:r>
      <w:r>
        <w:rPr>
          <w:sz w:val="21"/>
        </w:rPr>
        <w:t>唯一保留的风险：2017年Beta=1.42，白马行情中高市场暴露；2023年轻度负Alpha（−3.5%）。需持续监控Beta漂移。</w:t>
      </w:r>
    </w:p>
    <w:p>
      <w:pPr>
        <w:pStyle w:val="ListBullet"/>
        <w:ind w:left="283"/>
      </w:pPr>
      <w:r>
        <w:rPr>
          <w:b/>
          <w:sz w:val="21"/>
        </w:rPr>
        <w:t xml:space="preserve">5. </w:t>
      </w:r>
      <w:r>
        <w:rPr>
          <w:sz w:val="21"/>
        </w:rPr>
        <w:t>上实盘建议不变：10万起，初始资金规模合理；核心风险从"Alpha真实性"转移到"择时信号是否失灵"——MA200是唯一保命符，需应急预案。</w:t>
      </w:r>
    </w:p>
    <w:p>
      <w:pPr>
        <w:pStyle w:val="Heading1"/>
        <w:jc w:val="left"/>
      </w:pPr>
      <w:r>
        <w:t>七、方法论说明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因子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构造</w:t>
            </w:r>
          </w:p>
        </w:tc>
        <w:tc>
          <w:tcPr>
            <w:tcW w:type="dxa" w:w="549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数据源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MKT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CSI 800月收益 − Rf(2.5%/年)</w:t>
            </w:r>
          </w:p>
        </w:tc>
        <w:tc>
          <w:tcPr>
            <w:tcW w:type="dxa" w:w="5499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本地 data_store/meta/csi800_index.parquet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SMB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中证1000月收益 − 沪深300月收益</w:t>
            </w:r>
          </w:p>
        </w:tc>
        <w:tc>
          <w:tcPr>
            <w:tcW w:type="dxa" w:w="549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akshare sh000852 / sh000300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HML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申万价值月收益 − 中证成长月收益</w:t>
            </w:r>
          </w:p>
        </w:tc>
        <w:tc>
          <w:tcPr>
            <w:tcW w:type="dxa" w:w="5499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akshare sz399371 / sz399370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MOM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截面WML，12m-1m跳月，前后各20%</w:t>
            </w:r>
          </w:p>
        </w:tc>
        <w:tc>
          <w:tcPr>
            <w:tcW w:type="dxa" w:w="549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2855只宇宙股票（含历史退市）自建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回测净值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A-4策略，历史宇宙修复+2016延伸</w:t>
            </w:r>
          </w:p>
        </w:tc>
        <w:tc>
          <w:tcPr>
            <w:tcW w:type="dxa" w:w="5499"/>
            <w:shd w:val="clear" w:color="auto" w:fill="E8EEF7"/>
          </w:tcPr>
          <w:p>
            <w:pPr>
              <w:jc w:val="center"/>
            </w:pPr>
            <w:r>
              <w:rPr>
                <w:sz w:val="19"/>
              </w:rPr>
              <w:t>logs/backtest_a4_nav_2016.csv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标准误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Newey-West HAC，滞后4期</w:t>
            </w:r>
          </w:p>
        </w:tc>
        <w:tc>
          <w:tcPr>
            <w:tcW w:type="dxa" w:w="549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statsmodels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