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量化交易系统 — 架构与策略文档</w:t>
      </w:r>
    </w:p>
    <w:p>
      <w:pPr>
        <w:jc w:val="center"/>
      </w:pPr>
      <w:r>
        <w:rPr>
          <w:sz w:val="22"/>
        </w:rPr>
        <w:t>版本 v2.0  |  2026-06-11  |  Track A/B 双轨并行</w:t>
      </w:r>
    </w:p>
    <w:p/>
    <w:p>
      <w:pPr>
        <w:pStyle w:val="Heading1"/>
        <w:jc w:val="left"/>
      </w:pPr>
      <w:r>
        <w:t>一、项目概况</w:t>
      </w:r>
    </w:p>
    <w:p>
      <w:r>
        <w:rPr>
          <w:b w:val="0"/>
          <w:sz w:val="20"/>
        </w:rPr>
        <w:t>项目定位：A股量化交易系统，100万股票操作资金，3人团队（2金融+1IT）。</w:t>
      </w:r>
    </w:p>
    <w:p>
      <w:r>
        <w:rPr>
          <w:b w:val="0"/>
          <w:sz w:val="20"/>
        </w:rPr>
        <w:t>技术路线：双轨并行 — Track A（多因子月度选股，60万，目标年化15-20%）+ Track B（三位一体强势股，30万，目标年化25%+）。现金10万用于打新/货币基金。</w:t>
      </w:r>
    </w:p>
    <w:p>
      <w:r>
        <w:rPr>
          <w:b w:val="0"/>
          <w:sz w:val="20"/>
        </w:rPr>
        <w:t>策略形式：不依赖实盘盯盘，以"盘后数据→开盘前信号→盘中人工确认执行"为核心链路。</w:t>
      </w:r>
    </w:p>
    <w:p>
      <w:r>
        <w:rPr>
          <w:b w:val="0"/>
          <w:sz w:val="20"/>
        </w:rPr>
        <w:t>当前阶段：Track A已上QMT模拟盘，Track B纸面跟踪中。</w:t>
      </w:r>
    </w:p>
    <w:p>
      <w:pPr>
        <w:pStyle w:val="Heading1"/>
        <w:jc w:val="left"/>
      </w:pPr>
      <w:r>
        <w:t>二、系统架构</w:t>
      </w:r>
    </w:p>
    <w:p>
      <w:pPr>
        <w:pStyle w:val="Heading2"/>
        <w:jc w:val="left"/>
      </w:pPr>
      <w:r>
        <w:t>2.1 部署拓扑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核心任务</w:t>
            </w:r>
          </w:p>
        </w:tc>
      </w:tr>
      <w:tr>
        <w:tc>
          <w:tcPr>
            <w:tcW w:type="dxa" w:w="198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Linux 云服务器</w:t>
            </w:r>
          </w:p>
        </w:tc>
        <w:tc>
          <w:tcPr>
            <w:tcW w:type="dxa" w:w="198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Ubuntu 22.04</w:t>
            </w:r>
          </w:p>
        </w:tc>
        <w:tc>
          <w:tcPr>
            <w:tcW w:type="dxa" w:w="198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研究/数据/信号</w:t>
            </w:r>
          </w:p>
        </w:tc>
        <w:tc>
          <w:tcPr>
            <w:tcW w:type="dxa" w:w="2551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cron自动拉数据→计算信号→发邮件→健康检查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Windows 云服务器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Windows Server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QMT 交易执行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接收信号→风控→下单→导出持仓</w:t>
            </w:r>
          </w:p>
        </w:tc>
      </w:tr>
      <w:tr>
        <w:tc>
          <w:tcPr>
            <w:tcW w:type="dxa" w:w="198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本地 Mac</w:t>
            </w:r>
          </w:p>
        </w:tc>
        <w:tc>
          <w:tcPr>
            <w:tcW w:type="dxa" w:w="198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macOS</w:t>
            </w:r>
          </w:p>
        </w:tc>
        <w:tc>
          <w:tcPr>
            <w:tcW w:type="dxa" w:w="198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开发环境</w:t>
            </w:r>
          </w:p>
        </w:tc>
        <w:tc>
          <w:tcPr>
            <w:tcW w:type="dxa" w:w="2551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策略开发、回测、代码管理（GitHub）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GitHub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SaaS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代码仓库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版本管理、CI/CD</w:t>
            </w:r>
          </w:p>
        </w:tc>
      </w:tr>
    </w:tbl>
    <w:p/>
    <w:p>
      <w:pPr>
        <w:pStyle w:val="Heading2"/>
        <w:jc w:val="left"/>
      </w:pPr>
      <w:r>
        <w:t>2.2 每日自动化流程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脚本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113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08:55</w:t>
            </w:r>
          </w:p>
        </w:tc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daily_signal_a.py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Linux</w:t>
            </w:r>
          </w:p>
        </w:tc>
        <w:tc>
          <w:tcPr>
            <w:tcW w:type="dxa" w:w="4252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开盘前生成信号（调仓日发新持仓，非调仓日检查MA10）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08:55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top3_basket.py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Linux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Top3篮子排名重算，需要换仓时发邮件</w:t>
            </w:r>
          </w:p>
        </w:tc>
      </w:tr>
      <w:tr>
        <w:tc>
          <w:tcPr>
            <w:tcW w:type="dxa" w:w="113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09:30-14:57</w:t>
            </w:r>
          </w:p>
        </w:tc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人工确认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Windows</w:t>
            </w:r>
          </w:p>
        </w:tc>
        <w:tc>
          <w:tcPr>
            <w:tcW w:type="dxa" w:w="4252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查看邮件→在QMT执行买卖委托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15:00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paper_trade_update.py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Linux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收盘后拉取纸面净值快照</w:t>
            </w:r>
          </w:p>
        </w:tc>
      </w:tr>
      <w:tr>
        <w:tc>
          <w:tcPr>
            <w:tcW w:type="dxa" w:w="113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15:35</w:t>
            </w:r>
          </w:p>
        </w:tc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export_qmt_positions.py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Windows(计划任务)</w:t>
            </w:r>
          </w:p>
        </w:tc>
        <w:tc>
          <w:tcPr>
            <w:tcW w:type="dxa" w:w="4252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自动导出QMT持仓推回Linux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17:00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daily_data_update.py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Linux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更新全市场日线数据+指数+财务</w:t>
            </w:r>
          </w:p>
        </w:tc>
      </w:tr>
      <w:tr>
        <w:tc>
          <w:tcPr>
            <w:tcW w:type="dxa" w:w="113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17:30</w:t>
            </w:r>
          </w:p>
        </w:tc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health_check.py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Linux</w:t>
            </w:r>
          </w:p>
        </w:tc>
        <w:tc>
          <w:tcPr>
            <w:tcW w:type="dxa" w:w="4252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6项健康检查+异常邮件推送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18:00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check_regime_early.py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Linux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市场趋势预警（连跌周数+波动率+MA60）</w:t>
            </w:r>
          </w:p>
        </w:tc>
      </w:tr>
    </w:tbl>
    <w:p/>
    <w:p>
      <w:pPr>
        <w:pStyle w:val="Heading2"/>
        <w:jc w:val="left"/>
      </w:pPr>
      <w:r>
        <w:t>2.3 目录结构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708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98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strategies/</w:t>
            </w:r>
          </w:p>
        </w:tc>
        <w:tc>
          <w:tcPr>
            <w:tcW w:type="dxa" w:w="7087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策略代码：multi_factor.py（Track A）、trinity/（Track B）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scripts/</w:t>
            </w:r>
          </w:p>
        </w:tc>
        <w:tc>
          <w:tcPr>
            <w:tcW w:type="dxa" w:w="70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核心脚本：信号生成、回测、数据更新、监控、对账</w:t>
            </w:r>
          </w:p>
        </w:tc>
      </w:tr>
      <w:tr>
        <w:tc>
          <w:tcPr>
            <w:tcW w:type="dxa" w:w="198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execution/</w:t>
            </w:r>
          </w:p>
        </w:tc>
        <w:tc>
          <w:tcPr>
            <w:tcW w:type="dxa" w:w="7087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QMT交易执行：trader.py、qmt_client.py、risk.py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data/</w:t>
            </w:r>
          </w:p>
        </w:tc>
        <w:tc>
          <w:tcPr>
            <w:tcW w:type="dxa" w:w="70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数据抽象层：DataSource基类、akshare/MCP/Tushare实现</w:t>
            </w:r>
          </w:p>
        </w:tc>
      </w:tr>
      <w:tr>
        <w:tc>
          <w:tcPr>
            <w:tcW w:type="dxa" w:w="198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factors/</w:t>
            </w:r>
          </w:p>
        </w:tc>
        <w:tc>
          <w:tcPr>
            <w:tcW w:type="dxa" w:w="7087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因子库：动量、质量、基本面等独立因子模块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backtest/</w:t>
            </w:r>
          </w:p>
        </w:tc>
        <w:tc>
          <w:tcPr>
            <w:tcW w:type="dxa" w:w="70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回测引擎</w:t>
            </w:r>
          </w:p>
        </w:tc>
      </w:tr>
      <w:tr>
        <w:tc>
          <w:tcPr>
            <w:tcW w:type="dxa" w:w="198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monitoring/</w:t>
            </w:r>
          </w:p>
        </w:tc>
        <w:tc>
          <w:tcPr>
            <w:tcW w:type="dxa" w:w="7087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监控告警：alerts.py（邮件+企微）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config/</w:t>
            </w:r>
          </w:p>
        </w:tc>
        <w:tc>
          <w:tcPr>
            <w:tcW w:type="dxa" w:w="70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配置：settings.py、策略参数</w:t>
            </w:r>
          </w:p>
        </w:tc>
      </w:tr>
      <w:tr>
        <w:tc>
          <w:tcPr>
            <w:tcW w:type="dxa" w:w="198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data_store/</w:t>
            </w:r>
          </w:p>
        </w:tc>
        <w:tc>
          <w:tcPr>
            <w:tcW w:type="dxa" w:w="7087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数据存储：daily(日线)、financial(财务)、meta(元数据)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logs/</w:t>
            </w:r>
          </w:p>
        </w:tc>
        <w:tc>
          <w:tcPr>
            <w:tcW w:type="dxa" w:w="70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运行日志：cron、backtest、health、信号归档</w:t>
            </w:r>
          </w:p>
        </w:tc>
      </w:tr>
    </w:tbl>
    <w:p/>
    <w:p>
      <w:pPr>
        <w:pStyle w:val="Heading1"/>
        <w:jc w:val="left"/>
      </w:pPr>
      <w:r>
        <w:t>三、Track A 主策略（策略A-4）</w:t>
      </w:r>
    </w:p>
    <w:p>
      <w:pPr>
        <w:pStyle w:val="Heading2"/>
        <w:jc w:val="left"/>
      </w:pPr>
      <w:r>
        <w:t>3.1 策略概述</w:t>
      </w:r>
    </w:p>
    <w:p>
      <w:r>
        <w:rPr>
          <w:b w:val="0"/>
          <w:sz w:val="20"/>
        </w:rPr>
        <w:t>类型：双周调仓量化选股，CSI 800 历史流动性宇宙，30只行业均衡等权。</w:t>
      </w:r>
    </w:p>
    <w:p>
      <w:r>
        <w:rPr>
          <w:b w:val="0"/>
          <w:sz w:val="20"/>
        </w:rPr>
        <w:t>版本演进：A-1(基础多因子)→A-2(动量优化)→A-3(保护期)→A-4(动态保护+MA10出清，当前版本)。</w:t>
      </w:r>
    </w:p>
    <w:p>
      <w:r>
        <w:rPr>
          <w:b/>
          <w:color w:val="0033CC"/>
          <w:sz w:val="20"/>
        </w:rPr>
        <w:t>年化收益: 17.2% | 夏普: 1.14 | 最大回撤: -12.8% | 月度胜率: 78.5%（2016-2024历史宇宙回测）</w:t>
      </w:r>
    </w:p>
    <w:p>
      <w:pPr>
        <w:pStyle w:val="Heading2"/>
        <w:jc w:val="left"/>
      </w:pPr>
      <w:r>
        <w:t>3.2 综合打分公式</w:t>
      </w:r>
    </w:p>
    <w:p>
      <w:r>
        <w:rPr>
          <w:b/>
          <w:sz w:val="20"/>
        </w:rPr>
        <w:t>核心公式（compute_score_a2）：</w:t>
      </w:r>
    </w:p>
    <w:p>
      <w:r>
        <w:rPr>
          <w:b w:val="0"/>
          <w:sz w:val="20"/>
        </w:rPr>
        <w:t xml:space="preserve">  score = base_score × vol_mult × amount_mult</w:t>
      </w:r>
    </w:p>
    <w:p>
      <w:r>
        <w:rPr>
          <w:b/>
          <w:sz w:val="20"/>
        </w:rPr>
        <w:t xml:space="preserve">  base_score = 63% × momentum + 27% × quality + 10% × eps</w:t>
      </w:r>
    </w:p>
    <w:p>
      <w:r>
        <w:rPr>
          <w:b/>
          <w:sz w:val="20"/>
        </w:rPr>
        <w:br/>
        <w:t>动量因子（63%）：</w:t>
      </w:r>
    </w:p>
    <w:p>
      <w:r>
        <w:rPr>
          <w:b w:val="0"/>
          <w:sz w:val="20"/>
        </w:rPr>
        <w:t xml:space="preserve">  momentum = 0.30 × Z_行业(1M) + 0.40 × Z_行业(6M) + 0.30 × Z_行业(12M)</w:t>
      </w:r>
    </w:p>
    <w:p>
      <w:r>
        <w:rPr>
          <w:b w:val="0"/>
          <w:sz w:val="20"/>
        </w:rPr>
        <w:t xml:space="preserve">  × (1 + boost)，其中 boost = price_nh_bonus × volume_bonus</w:t>
      </w:r>
    </w:p>
    <w:p>
      <w:r>
        <w:rPr>
          <w:b w:val="0"/>
          <w:sz w:val="20"/>
        </w:rPr>
        <w:t xml:space="preserve">  price_nh_bonus: (价格/250日最高 - 0.90) × 2，范围[0,1]</w:t>
      </w:r>
    </w:p>
    <w:p>
      <w:r>
        <w:rPr>
          <w:b w:val="0"/>
          <w:sz w:val="20"/>
        </w:rPr>
        <w:t xml:space="preserve">  volume_bonus: (20日均量/250日均量 - 1) × 0.5，范围[0,0.5]</w:t>
      </w:r>
    </w:p>
    <w:p>
      <w:r>
        <w:rPr>
          <w:b/>
          <w:sz w:val="20"/>
        </w:rPr>
        <w:br/>
        <w:t>质量因子（27%）：</w:t>
      </w:r>
    </w:p>
    <w:p>
      <w:r>
        <w:rPr>
          <w:b w:val="0"/>
          <w:sz w:val="20"/>
        </w:rPr>
        <w:t xml:space="preserve">  quality = Z_行业(6M收益率 / 6M日波动率)，即Sharpe-like比率</w:t>
      </w:r>
    </w:p>
    <w:p>
      <w:r>
        <w:rPr>
          <w:b/>
          <w:sz w:val="20"/>
        </w:rPr>
        <w:br/>
        <w:t>EPS因子（10%）：</w:t>
      </w:r>
    </w:p>
    <w:p>
      <w:r>
        <w:rPr>
          <w:b w:val="0"/>
          <w:sz w:val="20"/>
        </w:rPr>
        <w:t xml:space="preserve">  eps = Z_行业(TTM每股收益)，最近4个季度EPS之和</w:t>
      </w:r>
    </w:p>
    <w:p>
      <w:r>
        <w:rPr>
          <w:b/>
          <w:sz w:val="20"/>
        </w:rPr>
        <w:br/>
        <w:t>辅助调节：</w:t>
      </w:r>
    </w:p>
    <w:p>
      <w:r>
        <w:rPr>
          <w:b w:val="0"/>
          <w:sz w:val="20"/>
        </w:rPr>
        <w:t xml:space="preserve">  vol_mult: 20日波动率排名 → 低波×1.3，高波×0.7</w:t>
      </w:r>
    </w:p>
    <w:p>
      <w:r>
        <w:rPr>
          <w:b w:val="0"/>
          <w:sz w:val="20"/>
        </w:rPr>
        <w:t xml:space="preserve">  amount_mult: 70%截面+30%行业内成交量排名 → [0.80,1.00]</w:t>
      </w:r>
    </w:p>
    <w:p>
      <w:pPr>
        <w:pStyle w:val="Heading2"/>
        <w:jc w:val="left"/>
      </w:pPr>
      <w:r>
        <w:t>3.3 选股与风控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行业均衡</w:t>
            </w:r>
          </w:p>
        </w:tc>
        <w:tc>
          <w:tcPr>
            <w:tcW w:type="dxa" w:w="45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单行业最多8只，主线行业×1.3权重</w:t>
            </w:r>
          </w:p>
        </w:tc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防行业集中风险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动态保护期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浮盈→自由换，浮亏→15%门槛，新股&lt;2周期→15%门槛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防追高密集换仓</w:t>
            </w:r>
          </w:p>
        </w:tc>
      </w:tr>
      <w:tr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换手上限</w:t>
            </w:r>
          </w:p>
        </w:tc>
        <w:tc>
          <w:tcPr>
            <w:tcW w:type="dxa" w:w="45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单次最多换15只（MAX_TURNOVER=15）</w:t>
            </w:r>
          </w:p>
        </w:tc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防一次大换血风险(5/28教训)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MA10止损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收盘价连续3日低于10日均线→出清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技术弱化早期退出</w:t>
            </w:r>
          </w:p>
        </w:tc>
      </w:tr>
      <w:tr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追踪止损</w:t>
            </w:r>
          </w:p>
        </w:tc>
        <w:tc>
          <w:tcPr>
            <w:tcW w:type="dxa" w:w="45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从最高净值回撤-18%→清仓</w:t>
            </w:r>
          </w:p>
        </w:tc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防极端回撤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期内止损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两周内总跌幅-15%→清仓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调仓周期内兜底</w:t>
            </w:r>
          </w:p>
        </w:tc>
      </w:tr>
      <w:tr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MA200仓位</w:t>
            </w:r>
          </w:p>
        </w:tc>
        <w:tc>
          <w:tcPr>
            <w:tcW w:type="dxa" w:w="45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CSI800/MA200：100%(&gt;1.05),85%(&gt;1.02),70%(&gt;0.98),50%(&gt;0.95),30%(&lt;0.95)</w:t>
            </w:r>
          </w:p>
        </w:tc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熊市自动降仓</w:t>
            </w:r>
          </w:p>
        </w:tc>
      </w:tr>
    </w:tbl>
    <w:p/>
    <w:p>
      <w:pPr>
        <w:pStyle w:val="Heading2"/>
        <w:jc w:val="left"/>
      </w:pPr>
      <w:r>
        <w:t>3.4 数据与参数</w:t>
      </w:r>
    </w:p>
    <w:p>
      <w:r>
        <w:rPr>
          <w:b w:val="0"/>
          <w:sz w:val="20"/>
        </w:rPr>
        <w:t>股票池: CSI 800历史流动性宇宙（每半年度按日均成交额TOP800，universe_history.parquet，含历史退市股）</w:t>
      </w:r>
    </w:p>
    <w:p>
      <w:r>
        <w:rPr>
          <w:b w:val="0"/>
          <w:sz w:val="20"/>
        </w:rPr>
        <w:t>数据区间: 2016-2024回测，9年×12月=约216个调仓日</w:t>
      </w:r>
    </w:p>
    <w:p>
      <w:r>
        <w:rPr>
          <w:b w:val="0"/>
          <w:sz w:val="20"/>
        </w:rPr>
        <w:t>手续费: 单边0.175%（万2.5佣金+千1印花税卖出+0.05%滑点）</w:t>
      </w:r>
    </w:p>
    <w:p>
      <w:pPr>
        <w:pStyle w:val="Heading1"/>
        <w:jc w:val="left"/>
      </w:pPr>
      <w:r>
        <w:t>四、Track B（三位一体强势股）</w:t>
      </w:r>
    </w:p>
    <w:p>
      <w:r>
        <w:rPr>
          <w:b w:val="0"/>
          <w:sz w:val="20"/>
        </w:rPr>
        <w:t>定位：进攻型策略，30万资金，目标年化25%+，20周开发周期。</w:t>
      </w:r>
    </w:p>
    <w:p>
      <w:r>
        <w:rPr>
          <w:b w:val="0"/>
          <w:sz w:val="20"/>
        </w:rPr>
        <w:t>当前阶段：纸面交易跟踪中，6只持仓，约-11.6%浮亏。追踪中小盘强势题材，偏结构性行情。</w:t>
      </w:r>
    </w:p>
    <w:p>
      <w:r>
        <w:rPr>
          <w:b w:val="0"/>
          <w:sz w:val="20"/>
        </w:rPr>
        <w:t>方法论：大势+板块用三位一体判断，个股层纯量化打分。</w:t>
      </w:r>
    </w:p>
    <w:p>
      <w:pPr>
        <w:pStyle w:val="Heading1"/>
        <w:jc w:val="left"/>
      </w:pPr>
      <w:r>
        <w:t>五、Top3 手动跟单篮子</w:t>
      </w:r>
    </w:p>
    <w:p>
      <w:pPr>
        <w:pStyle w:val="Heading2"/>
        <w:jc w:val="left"/>
      </w:pPr>
      <w:r>
        <w:t>5.1 定位与配置</w:t>
      </w:r>
    </w:p>
    <w:p>
      <w:r>
        <w:rPr>
          <w:b/>
          <w:sz w:val="20"/>
        </w:rPr>
        <w:t>本金: 50,000元 | 独立于主策略 | 更激进的高弹性打分</w:t>
      </w:r>
    </w:p>
    <w:p>
      <w:r>
        <w:rPr>
          <w:b w:val="0"/>
          <w:sz w:val="20"/>
        </w:rPr>
        <w:t>用途: 跟随量化信号手动操作，用小资金搏短期爆发收益。</w:t>
      </w:r>
    </w:p>
    <w:p>
      <w:pPr>
        <w:pStyle w:val="Heading2"/>
        <w:jc w:val="left"/>
      </w:pPr>
      <w:r>
        <w:t>5.2 高弹性打分公式（compute_score_top3）</w:t>
      </w:r>
    </w:p>
    <w:p>
      <w:r>
        <w:rPr>
          <w:b/>
          <w:sz w:val="20"/>
        </w:rPr>
        <w:t>核心差异 vs 主策略：</w:t>
      </w:r>
    </w:p>
    <w:p>
      <w:r>
        <w:rPr>
          <w:b w:val="0"/>
          <w:sz w:val="20"/>
        </w:rPr>
        <w:t xml:space="preserve">  base_score = 85% × momentum + 15% × quality（无EPS因子）</w:t>
      </w:r>
    </w:p>
    <w:p>
      <w:r>
        <w:rPr>
          <w:b/>
          <w:sz w:val="20"/>
        </w:rPr>
        <w:t xml:space="preserve">  momentum = 0.50 × Z_截面(5D) + 0.30 × Z_截面(20D) + 0.20 × Z_截面(60D)</w:t>
      </w:r>
    </w:p>
    <w:p>
      <w:r>
        <w:rPr>
          <w:b w:val="0"/>
          <w:sz w:val="20"/>
        </w:rPr>
        <w:t xml:space="preserve">  截面Z-score：全市场排名，不做行业内平滑（允许整个行业的强势股一起高分）</w:t>
      </w:r>
    </w:p>
    <w:p>
      <w:pPr>
        <w:pStyle w:val="Heading2"/>
        <w:jc w:val="left"/>
      </w:pPr>
      <w:r>
        <w:t>5.3 交易规则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🟢 建仓</w:t>
            </w:r>
          </w:p>
        </w:tc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每次换仓</w:t>
            </w:r>
          </w:p>
        </w:tc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全市场取Top3等权买入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🟡 止盈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浮盈&gt;25%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全部卖出落袋</w:t>
            </w:r>
          </w:p>
        </w:tc>
      </w:tr>
      <w:tr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🟡 止盈（减半）</w:t>
            </w:r>
          </w:p>
        </w:tc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浮盈&gt;15%+MA10拐头向下</w:t>
            </w:r>
          </w:p>
        </w:tc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减半仓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🔴 止损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连续3天收盘&lt;MA10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立即清仓</w:t>
            </w:r>
          </w:p>
        </w:tc>
      </w:tr>
      <w:tr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🔄 排名替换</w:t>
            </w:r>
          </w:p>
        </w:tc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排名跌出前10+替补强20%+持有≥3天</w:t>
            </w:r>
          </w:p>
        </w:tc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换入替补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⏳ T+1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当日买入的股票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次日才能卖出</w:t>
            </w:r>
          </w:p>
        </w:tc>
      </w:tr>
      <w:tr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🛡️ 最低持有</w:t>
            </w:r>
          </w:p>
        </w:tc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不足3个交易日</w:t>
            </w:r>
          </w:p>
        </w:tc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不受排名替换</w:t>
            </w:r>
          </w:p>
        </w:tc>
      </w:tr>
    </w:tbl>
    <w:p/>
    <w:p>
      <w:pPr>
        <w:pStyle w:val="Heading1"/>
        <w:jc w:val="left"/>
      </w:pPr>
      <w:r>
        <w:t>六、监控与告警体系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监控项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脚本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告警条件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频率</w:t>
            </w:r>
          </w:p>
        </w:tc>
      </w:tr>
      <w:tr>
        <w:tc>
          <w:tcPr>
            <w:tcW w:type="dxa" w:w="198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市场趋势预警</w:t>
            </w:r>
          </w:p>
        </w:tc>
        <w:tc>
          <w:tcPr>
            <w:tcW w:type="dxa" w:w="198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check_regime_early.py</w:t>
            </w:r>
          </w:p>
        </w:tc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连跌≥3周/波动率&gt;1.5x/跌破MA60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每日18:00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策略滚动Beta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health_check.py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12月滚动Beta&gt;0.8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每日17:30</w:t>
            </w:r>
          </w:p>
        </w:tc>
      </w:tr>
      <w:tr>
        <w:tc>
          <w:tcPr>
            <w:tcW w:type="dxa" w:w="198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日线数据新鲜度</w:t>
            </w:r>
          </w:p>
        </w:tc>
        <w:tc>
          <w:tcPr>
            <w:tcW w:type="dxa" w:w="198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health_check.py</w:t>
            </w:r>
          </w:p>
        </w:tc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5只探针股缺数据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每日17:30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信号新鲜度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health_check.py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Track A信号&gt;20天未更新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每日17:30</w:t>
            </w:r>
          </w:p>
        </w:tc>
      </w:tr>
      <w:tr>
        <w:tc>
          <w:tcPr>
            <w:tcW w:type="dxa" w:w="198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执行质量</w:t>
            </w:r>
          </w:p>
        </w:tc>
        <w:tc>
          <w:tcPr>
            <w:tcW w:type="dxa" w:w="198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health_check.py</w:t>
            </w:r>
          </w:p>
        </w:tc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成交率&lt;90%/滑点连续&gt;0.3%/时延&gt;30min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每日17:30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磁盘空间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health_check.py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剩余&lt;5GB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每日17:30</w:t>
            </w:r>
          </w:p>
        </w:tc>
      </w:tr>
    </w:tbl>
    <w:p/>
    <w:p>
      <w:r>
        <w:rPr>
          <w:b w:val="0"/>
          <w:sz w:val="20"/>
        </w:rPr>
        <w:t>告警通道: 邮件为主（SMTP），企业微信为辅。每日若无异常不推送。</w:t>
      </w:r>
    </w:p>
    <w:p>
      <w:pPr>
        <w:pStyle w:val="Heading1"/>
        <w:jc w:val="left"/>
      </w:pPr>
      <w:r>
        <w:t>七、回测审计（BACKTEST_AUDIT.md）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审计模块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评级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主要发现</w:t>
            </w:r>
          </w:p>
        </w:tc>
      </w:tr>
      <w:tr>
        <w:tc>
          <w:tcPr>
            <w:tcW w:type="dxa" w:w="198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A. 股票池构建</w:t>
            </w:r>
          </w:p>
        </w:tc>
        <w:tc>
          <w:tcPr>
            <w:tcW w:type="dxa" w:w="850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6236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已用流动性代理法修复幸存者偏差（实测偏差-7.5pp年化）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B. 数据时点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财务数据PIT滞后60/120天，未发现未来函数</w:t>
            </w:r>
          </w:p>
        </w:tc>
      </w:tr>
      <w:tr>
        <w:tc>
          <w:tcPr>
            <w:tcW w:type="dxa" w:w="198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C. 成交假设</w:t>
            </w:r>
          </w:p>
        </w:tc>
        <w:tc>
          <w:tcPr>
            <w:tcW w:type="dxa" w:w="850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⚠️</w:t>
            </w:r>
          </w:p>
        </w:tc>
        <w:tc>
          <w:tcPr>
            <w:tcW w:type="dxa" w:w="6236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涨停日成交无法保证，MA10止损可提前退出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D. 幸存者偏差+成本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修复后年化20.4%，成本0.35%压力下仍达标</w:t>
            </w:r>
          </w:p>
        </w:tc>
      </w:tr>
      <w:tr>
        <w:tc>
          <w:tcPr>
            <w:tcW w:type="dxa" w:w="198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E. 过拟合</w:t>
            </w:r>
          </w:p>
        </w:tc>
        <w:tc>
          <w:tcPr>
            <w:tcW w:type="dxa" w:w="850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6236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15个参数已WF验证，OOS正夏普比例100%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F. 实盘一致性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🔄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数据积累中，待2个月后对比</w:t>
            </w:r>
          </w:p>
        </w:tc>
      </w:tr>
    </w:tbl>
    <w:p/>
    <w:p>
      <w:pPr>
        <w:pStyle w:val="Heading1"/>
        <w:jc w:val="left"/>
      </w:pPr>
      <w:r>
        <w:t>八、四因子归因分析（Carhart 2016-2024）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全样本(96月)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剔除牛市(72月)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解读</w:t>
            </w:r>
          </w:p>
        </w:tc>
      </w:tr>
      <w:tr>
        <w:tc>
          <w:tcPr>
            <w:tcW w:type="dxa" w:w="198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年化Alpha</w:t>
            </w:r>
          </w:p>
        </w:tc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+22.9%</w:t>
            </w:r>
          </w:p>
        </w:tc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+14.6%</w:t>
            </w:r>
          </w:p>
        </w:tc>
        <w:tc>
          <w:tcPr>
            <w:tcW w:type="dxa" w:w="368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精选股能力显著，不依赖牛市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Alpha t值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4.47(p≈0)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2.48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高度统计显著</w:t>
            </w:r>
          </w:p>
        </w:tc>
      </w:tr>
      <w:tr>
        <w:tc>
          <w:tcPr>
            <w:tcW w:type="dxa" w:w="198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市场Beta</w:t>
            </w:r>
          </w:p>
        </w:tc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0.343</w:t>
            </w:r>
          </w:p>
        </w:tc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0.410</w:t>
            </w:r>
          </w:p>
        </w:tc>
        <w:tc>
          <w:tcPr>
            <w:tcW w:type="dxa" w:w="368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远低于1，非放大版指数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R²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0.325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0.265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因子解释32.5%，67.5%为特质收益</w:t>
            </w:r>
          </w:p>
        </w:tc>
      </w:tr>
      <w:tr>
        <w:tc>
          <w:tcPr>
            <w:tcW w:type="dxa" w:w="198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β_SMB</w:t>
            </w:r>
          </w:p>
        </w:tc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+0.134</w:t>
            </w:r>
          </w:p>
        </w:tc>
        <w:tc>
          <w:tcPr>
            <w:tcW w:type="dxa" w:w="1701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+0.138</w:t>
            </w:r>
          </w:p>
        </w:tc>
        <w:tc>
          <w:tcPr>
            <w:tcW w:type="dxa" w:w="368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轻微小盘偏向，不显著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β_MOM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+0.261(t=3.29)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+0.182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动量因子贡献明显</w:t>
            </w:r>
          </w:p>
        </w:tc>
      </w:tr>
    </w:tbl>
    <w:p/>
    <w:p>
      <w:pPr>
        <w:pStyle w:val="Heading1"/>
        <w:jc w:val="left"/>
      </w:pPr>
      <w:r>
        <w:t>九、策略迭代性能对比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改动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年化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夏普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回撤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月度胜率</w:t>
            </w:r>
          </w:p>
        </w:tc>
      </w:tr>
      <w:tr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原始版</w:t>
            </w:r>
          </w:p>
        </w:tc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纯动量(1M/6M/12M)</w:t>
            </w:r>
          </w:p>
        </w:tc>
        <w:tc>
          <w:tcPr>
            <w:tcW w:type="dxa" w:w="113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19.3%</w:t>
            </w:r>
          </w:p>
        </w:tc>
        <w:tc>
          <w:tcPr>
            <w:tcW w:type="dxa" w:w="850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1.21</w:t>
            </w:r>
          </w:p>
        </w:tc>
        <w:tc>
          <w:tcPr>
            <w:tcW w:type="dxa" w:w="113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-15.1%</w:t>
            </w:r>
          </w:p>
        </w:tc>
        <w:tc>
          <w:tcPr>
            <w:tcW w:type="dxa" w:w="113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75.7%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+质量30%+新股保护2周期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17.2%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1.13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-14.2%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78.5%</w:t>
            </w:r>
          </w:p>
        </w:tc>
      </w:tr>
      <w:tr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P1</w:t>
            </w:r>
          </w:p>
        </w:tc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+换手上限15只</w:t>
            </w:r>
          </w:p>
        </w:tc>
        <w:tc>
          <w:tcPr>
            <w:tcW w:type="dxa" w:w="113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17.2%</w:t>
            </w:r>
          </w:p>
        </w:tc>
        <w:tc>
          <w:tcPr>
            <w:tcW w:type="dxa" w:w="850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1.13</w:t>
            </w:r>
          </w:p>
        </w:tc>
        <w:tc>
          <w:tcPr>
            <w:tcW w:type="dxa" w:w="113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-14.2%</w:t>
            </w:r>
          </w:p>
        </w:tc>
        <w:tc>
          <w:tcPr>
            <w:tcW w:type="dxa" w:w="1134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78.5%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最终版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+EPS 10%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17.2%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1.14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-12.8%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78.5%</w:t>
            </w:r>
          </w:p>
        </w:tc>
      </w:tr>
    </w:tbl>
    <w:p/>
    <w:p>
      <w:r>
        <w:rPr>
          <w:b/>
          <w:sz w:val="20"/>
        </w:rPr>
        <w:t>结论: 最终版vs原始版，年化-2.1pp换取回撤改善2.3pp+弱年韧性大幅提升(2023从-4.8%→-2.4%)。</w:t>
      </w:r>
    </w:p>
    <w:p>
      <w:pPr>
        <w:pStyle w:val="Heading1"/>
        <w:jc w:val="left"/>
      </w:pPr>
      <w:r>
        <w:t>十、关键参数总表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值</w:t>
            </w:r>
          </w:p>
        </w:tc>
        <w:tc>
          <w:tcPr>
            <w:tcW w:type="dxa" w:w="538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N_HOLDINGS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5386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持仓股票数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REBAL_FREQ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biweekly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双周调仓（月中+月末）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MIN_BARS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250</w:t>
            </w:r>
          </w:p>
        </w:tc>
        <w:tc>
          <w:tcPr>
            <w:tcW w:type="dxa" w:w="5386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最少预热天数（≈1年）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MAX_IND_SLOT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单行业最多持仓数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MAX_TURNOVER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5386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单次调仓最多换仓数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GRACE_THRESHOLD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保护期替换门槛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NEW_STOCK_PROTECT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5386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新股保护周期数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MA10_EXIT_DAYS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MA10连续跌破天数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MA_EXIT_WINDOW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5386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MA窗口天数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PERIOD_STOP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-15%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期内止损线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TRAILING_STOP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-18%</w:t>
            </w:r>
          </w:p>
        </w:tc>
        <w:tc>
          <w:tcPr>
            <w:tcW w:type="dxa" w:w="5386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追踪止损线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COMMISSION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0.175%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单边交易成本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MAX_SINGLE_ORDER</w:t>
            </w:r>
          </w:p>
        </w:tc>
        <w:tc>
          <w:tcPr>
            <w:tcW w:type="dxa" w:w="1417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100,000</w:t>
            </w:r>
          </w:p>
        </w:tc>
        <w:tc>
          <w:tcPr>
            <w:tcW w:type="dxa" w:w="5386"/>
            <w:shd w:val="clear" w:color="auto" w:fill="E8EEF7"/>
          </w:tcPr>
          <w:p>
            <w:pPr>
              <w:jc w:val="center"/>
            </w:pPr>
            <w:r>
              <w:rPr>
                <w:sz w:val="18"/>
              </w:rPr>
              <w:t>单笔委托金额上限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RF_ANNUAL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2.5%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无风险利率</w:t>
            </w:r>
          </w:p>
        </w:tc>
      </w:tr>
    </w:tbl>
    <w:p/>
    <w:p/>
    <w:p/>
    <w:p>
      <w:pPr>
        <w:jc w:val="right"/>
      </w:pPr>
      <w:r>
        <w:rPr>
          <w:sz w:val="16"/>
        </w:rPr>
        <w:t>文档生成: 2026-06-11 | Claude Sonnet 4.6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