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27B8C" w14:textId="2B5D9932" w:rsidR="002814A0" w:rsidRPr="002814A0" w:rsidRDefault="002814A0" w:rsidP="002814A0">
      <w:pPr>
        <w:jc w:val="both"/>
        <w:rPr>
          <w:sz w:val="32"/>
          <w:szCs w:val="32"/>
        </w:rPr>
      </w:pPr>
      <w:r w:rsidRPr="002814A0">
        <w:rPr>
          <w:sz w:val="32"/>
          <w:szCs w:val="32"/>
        </w:rPr>
        <w:drawing>
          <wp:inline distT="0" distB="0" distL="0" distR="0" wp14:anchorId="70AC1CD4" wp14:editId="2DDCCA10">
            <wp:extent cx="5905500" cy="5074920"/>
            <wp:effectExtent l="0" t="0" r="0" b="0"/>
            <wp:docPr id="10916383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05500" cy="5074920"/>
                    </a:xfrm>
                    <a:prstGeom prst="rect">
                      <a:avLst/>
                    </a:prstGeom>
                    <a:noFill/>
                    <a:ln>
                      <a:noFill/>
                    </a:ln>
                  </pic:spPr>
                </pic:pic>
              </a:graphicData>
            </a:graphic>
          </wp:inline>
        </w:drawing>
      </w:r>
    </w:p>
    <w:p w14:paraId="242F9B1C" w14:textId="515E57DD" w:rsidR="002814A0" w:rsidRPr="002814A0" w:rsidRDefault="002814A0" w:rsidP="002814A0">
      <w:pPr>
        <w:jc w:val="both"/>
        <w:rPr>
          <w:b/>
          <w:bCs/>
          <w:sz w:val="44"/>
          <w:szCs w:val="44"/>
        </w:rPr>
      </w:pPr>
      <w:proofErr w:type="spellStart"/>
      <w:r w:rsidRPr="002814A0">
        <w:rPr>
          <w:b/>
          <w:bCs/>
          <w:sz w:val="44"/>
          <w:szCs w:val="44"/>
        </w:rPr>
        <w:t>Concordium</w:t>
      </w:r>
      <w:proofErr w:type="spellEnd"/>
      <w:r w:rsidRPr="002814A0">
        <w:rPr>
          <w:b/>
          <w:bCs/>
          <w:sz w:val="44"/>
          <w:szCs w:val="44"/>
        </w:rPr>
        <w:t xml:space="preserve"> — A Brief Summary of what it is about.</w:t>
      </w:r>
    </w:p>
    <w:p w14:paraId="3CE23871" w14:textId="77777777" w:rsidR="002814A0" w:rsidRDefault="002814A0" w:rsidP="002814A0">
      <w:pPr>
        <w:jc w:val="both"/>
        <w:rPr>
          <w:sz w:val="32"/>
          <w:szCs w:val="32"/>
        </w:rPr>
      </w:pPr>
      <w:proofErr w:type="spellStart"/>
      <w:r w:rsidRPr="002814A0">
        <w:rPr>
          <w:sz w:val="32"/>
          <w:szCs w:val="32"/>
        </w:rPr>
        <w:t>Concordium</w:t>
      </w:r>
      <w:proofErr w:type="spellEnd"/>
      <w:r w:rsidRPr="002814A0">
        <w:rPr>
          <w:sz w:val="32"/>
          <w:szCs w:val="32"/>
        </w:rPr>
        <w:t>, positioned as a layer-1 blockchain, establishes the foundational framework upon which decentralized applications (</w:t>
      </w:r>
      <w:proofErr w:type="spellStart"/>
      <w:r w:rsidRPr="002814A0">
        <w:rPr>
          <w:sz w:val="32"/>
          <w:szCs w:val="32"/>
        </w:rPr>
        <w:t>DApps</w:t>
      </w:r>
      <w:proofErr w:type="spellEnd"/>
      <w:r w:rsidRPr="002814A0">
        <w:rPr>
          <w:sz w:val="32"/>
          <w:szCs w:val="32"/>
        </w:rPr>
        <w:t>) can be constructed. Some of its distinctive attributes differentiating it from other blockchains are outlined below:</w:t>
      </w:r>
    </w:p>
    <w:p w14:paraId="41133225" w14:textId="77777777" w:rsidR="002814A0" w:rsidRPr="002814A0" w:rsidRDefault="002814A0" w:rsidP="002814A0">
      <w:pPr>
        <w:jc w:val="both"/>
        <w:rPr>
          <w:sz w:val="32"/>
          <w:szCs w:val="32"/>
        </w:rPr>
      </w:pPr>
    </w:p>
    <w:p w14:paraId="4D9C2BC1" w14:textId="77777777" w:rsidR="002814A0" w:rsidRPr="002814A0" w:rsidRDefault="002814A0" w:rsidP="002814A0">
      <w:pPr>
        <w:jc w:val="both"/>
        <w:rPr>
          <w:b/>
          <w:bCs/>
          <w:sz w:val="32"/>
          <w:szCs w:val="32"/>
        </w:rPr>
      </w:pPr>
      <w:r w:rsidRPr="002814A0">
        <w:rPr>
          <w:b/>
          <w:bCs/>
          <w:sz w:val="32"/>
          <w:szCs w:val="32"/>
        </w:rPr>
        <w:t>Stable Transaction Fees</w:t>
      </w:r>
    </w:p>
    <w:p w14:paraId="7B4769BF" w14:textId="77777777" w:rsidR="002814A0" w:rsidRDefault="002814A0" w:rsidP="002814A0">
      <w:pPr>
        <w:jc w:val="both"/>
        <w:rPr>
          <w:sz w:val="32"/>
          <w:szCs w:val="32"/>
        </w:rPr>
      </w:pPr>
      <w:proofErr w:type="spellStart"/>
      <w:r w:rsidRPr="002814A0">
        <w:rPr>
          <w:sz w:val="32"/>
          <w:szCs w:val="32"/>
        </w:rPr>
        <w:t>Concordium</w:t>
      </w:r>
      <w:proofErr w:type="spellEnd"/>
      <w:r w:rsidRPr="002814A0">
        <w:rPr>
          <w:sz w:val="32"/>
          <w:szCs w:val="32"/>
        </w:rPr>
        <w:t xml:space="preserve"> ensures predictability in transaction fees. Users engaging in transactions on the </w:t>
      </w:r>
      <w:proofErr w:type="spellStart"/>
      <w:r w:rsidRPr="002814A0">
        <w:rPr>
          <w:sz w:val="32"/>
          <w:szCs w:val="32"/>
        </w:rPr>
        <w:t>Concordium</w:t>
      </w:r>
      <w:proofErr w:type="spellEnd"/>
      <w:r w:rsidRPr="002814A0">
        <w:rPr>
          <w:sz w:val="32"/>
          <w:szCs w:val="32"/>
        </w:rPr>
        <w:t xml:space="preserve"> blockchain can expect consistent and </w:t>
      </w:r>
      <w:r w:rsidRPr="002814A0">
        <w:rPr>
          <w:sz w:val="32"/>
          <w:szCs w:val="32"/>
        </w:rPr>
        <w:lastRenderedPageBreak/>
        <w:t>unvarying fees. This predictability facilitates effective budget planning, as users are assured that fees will remain constant.</w:t>
      </w:r>
    </w:p>
    <w:p w14:paraId="3ACF70B6" w14:textId="77777777" w:rsidR="002814A0" w:rsidRPr="002814A0" w:rsidRDefault="002814A0" w:rsidP="002814A0">
      <w:pPr>
        <w:jc w:val="both"/>
        <w:rPr>
          <w:sz w:val="32"/>
          <w:szCs w:val="32"/>
        </w:rPr>
      </w:pPr>
    </w:p>
    <w:p w14:paraId="7DB0AE08" w14:textId="50B132E2" w:rsidR="002814A0" w:rsidRPr="002814A0" w:rsidRDefault="002814A0" w:rsidP="002814A0">
      <w:pPr>
        <w:jc w:val="both"/>
        <w:rPr>
          <w:b/>
          <w:bCs/>
          <w:sz w:val="32"/>
          <w:szCs w:val="32"/>
        </w:rPr>
      </w:pPr>
      <w:r w:rsidRPr="002814A0">
        <w:rPr>
          <w:b/>
          <w:bCs/>
          <w:sz w:val="32"/>
          <w:szCs w:val="32"/>
        </w:rPr>
        <w:t>Integrated Identity Layer</w:t>
      </w:r>
    </w:p>
    <w:p w14:paraId="7E116D9A" w14:textId="77777777" w:rsidR="002814A0" w:rsidRPr="002814A0" w:rsidRDefault="002814A0" w:rsidP="002814A0">
      <w:pPr>
        <w:jc w:val="both"/>
        <w:rPr>
          <w:sz w:val="32"/>
          <w:szCs w:val="32"/>
        </w:rPr>
      </w:pPr>
      <w:r w:rsidRPr="002814A0">
        <w:rPr>
          <w:sz w:val="32"/>
          <w:szCs w:val="32"/>
        </w:rPr>
        <w:t xml:space="preserve">An intrinsic identity layer is incorporated into the core protocol of </w:t>
      </w:r>
      <w:proofErr w:type="spellStart"/>
      <w:r w:rsidRPr="002814A0">
        <w:rPr>
          <w:sz w:val="32"/>
          <w:szCs w:val="32"/>
        </w:rPr>
        <w:t>Concordium</w:t>
      </w:r>
      <w:proofErr w:type="spellEnd"/>
      <w:r w:rsidRPr="002814A0">
        <w:rPr>
          <w:sz w:val="32"/>
          <w:szCs w:val="32"/>
        </w:rPr>
        <w:t xml:space="preserve">. This layer facilitates the identification of account holders, particularly during official investigations. It establishes a secure linkage between digital wallets and real-world identities, employing third-party verification mechanisms and intelligent zero-knowledge proofs. To engage with </w:t>
      </w:r>
      <w:proofErr w:type="spellStart"/>
      <w:r w:rsidRPr="002814A0">
        <w:rPr>
          <w:sz w:val="32"/>
          <w:szCs w:val="32"/>
        </w:rPr>
        <w:t>Concordium</w:t>
      </w:r>
      <w:proofErr w:type="spellEnd"/>
      <w:r w:rsidRPr="002814A0">
        <w:rPr>
          <w:sz w:val="32"/>
          <w:szCs w:val="32"/>
        </w:rPr>
        <w:t xml:space="preserve"> in any capacity, individuals are mandated to undergo third-party verification, fortifying the overall security infrastructure.</w:t>
      </w:r>
    </w:p>
    <w:p w14:paraId="7DA6A128" w14:textId="5BDCC809" w:rsidR="002814A0" w:rsidRPr="002814A0" w:rsidRDefault="002814A0" w:rsidP="002814A0">
      <w:pPr>
        <w:jc w:val="both"/>
        <w:rPr>
          <w:sz w:val="32"/>
          <w:szCs w:val="32"/>
        </w:rPr>
      </w:pPr>
      <w:r w:rsidRPr="002814A0">
        <w:rPr>
          <w:sz w:val="32"/>
          <w:szCs w:val="32"/>
        </w:rPr>
        <w:drawing>
          <wp:inline distT="0" distB="0" distL="0" distR="0" wp14:anchorId="15DADAAB" wp14:editId="15F10F18">
            <wp:extent cx="5943600" cy="3674745"/>
            <wp:effectExtent l="0" t="0" r="0" b="1905"/>
            <wp:docPr id="10233648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74745"/>
                    </a:xfrm>
                    <a:prstGeom prst="rect">
                      <a:avLst/>
                    </a:prstGeom>
                    <a:noFill/>
                    <a:ln>
                      <a:noFill/>
                    </a:ln>
                  </pic:spPr>
                </pic:pic>
              </a:graphicData>
            </a:graphic>
          </wp:inline>
        </w:drawing>
      </w:r>
    </w:p>
    <w:p w14:paraId="304CFFFC" w14:textId="77777777" w:rsidR="004C0C32" w:rsidRDefault="004C0C32" w:rsidP="002814A0">
      <w:pPr>
        <w:jc w:val="both"/>
        <w:rPr>
          <w:b/>
          <w:bCs/>
          <w:sz w:val="32"/>
          <w:szCs w:val="32"/>
        </w:rPr>
      </w:pPr>
    </w:p>
    <w:p w14:paraId="05FAD64D" w14:textId="77777777" w:rsidR="004C0C32" w:rsidRDefault="004C0C32" w:rsidP="002814A0">
      <w:pPr>
        <w:jc w:val="both"/>
        <w:rPr>
          <w:b/>
          <w:bCs/>
          <w:sz w:val="32"/>
          <w:szCs w:val="32"/>
        </w:rPr>
      </w:pPr>
    </w:p>
    <w:p w14:paraId="7C81713D" w14:textId="1505437D" w:rsidR="002814A0" w:rsidRPr="002814A0" w:rsidRDefault="002814A0" w:rsidP="002814A0">
      <w:pPr>
        <w:jc w:val="both"/>
        <w:rPr>
          <w:b/>
          <w:bCs/>
          <w:sz w:val="32"/>
          <w:szCs w:val="32"/>
        </w:rPr>
      </w:pPr>
      <w:r w:rsidRPr="002814A0">
        <w:rPr>
          <w:b/>
          <w:bCs/>
          <w:sz w:val="32"/>
          <w:szCs w:val="32"/>
        </w:rPr>
        <w:lastRenderedPageBreak/>
        <w:t>Blockchain Trilemma Resolution</w:t>
      </w:r>
    </w:p>
    <w:p w14:paraId="0CE23F27" w14:textId="77777777" w:rsidR="002814A0" w:rsidRDefault="002814A0" w:rsidP="002814A0">
      <w:pPr>
        <w:jc w:val="both"/>
        <w:rPr>
          <w:sz w:val="32"/>
          <w:szCs w:val="32"/>
        </w:rPr>
      </w:pPr>
      <w:proofErr w:type="spellStart"/>
      <w:r w:rsidRPr="002814A0">
        <w:rPr>
          <w:sz w:val="32"/>
          <w:szCs w:val="32"/>
        </w:rPr>
        <w:t>Concordium</w:t>
      </w:r>
      <w:proofErr w:type="spellEnd"/>
      <w:r w:rsidRPr="002814A0">
        <w:rPr>
          <w:sz w:val="32"/>
          <w:szCs w:val="32"/>
        </w:rPr>
        <w:t xml:space="preserve"> undertakes continuous efforts to address the blockchain trilemma encompassing decentralization, security, and scalability. The platform is committed to achieving equilibrium in these three critical aspects to ensure the system’s safety, optimal functionality, and the capability to handle a substantial volume of transactions.</w:t>
      </w:r>
    </w:p>
    <w:p w14:paraId="638C012C" w14:textId="77777777" w:rsidR="002814A0" w:rsidRPr="002814A0" w:rsidRDefault="002814A0" w:rsidP="002814A0">
      <w:pPr>
        <w:jc w:val="both"/>
        <w:rPr>
          <w:sz w:val="32"/>
          <w:szCs w:val="32"/>
        </w:rPr>
      </w:pPr>
    </w:p>
    <w:p w14:paraId="5E9D76BC" w14:textId="77777777" w:rsidR="002814A0" w:rsidRPr="002814A0" w:rsidRDefault="002814A0" w:rsidP="002814A0">
      <w:pPr>
        <w:jc w:val="both"/>
        <w:rPr>
          <w:b/>
          <w:bCs/>
          <w:sz w:val="32"/>
          <w:szCs w:val="32"/>
        </w:rPr>
      </w:pPr>
      <w:r w:rsidRPr="002814A0">
        <w:rPr>
          <w:b/>
          <w:bCs/>
          <w:sz w:val="32"/>
          <w:szCs w:val="32"/>
        </w:rPr>
        <w:t>Regulatory Compliance and Accountability</w:t>
      </w:r>
    </w:p>
    <w:p w14:paraId="59E0F3A5" w14:textId="77777777" w:rsidR="002814A0" w:rsidRDefault="002814A0" w:rsidP="002814A0">
      <w:pPr>
        <w:jc w:val="both"/>
        <w:rPr>
          <w:sz w:val="32"/>
          <w:szCs w:val="32"/>
        </w:rPr>
      </w:pPr>
      <w:proofErr w:type="spellStart"/>
      <w:r w:rsidRPr="002814A0">
        <w:rPr>
          <w:sz w:val="32"/>
          <w:szCs w:val="32"/>
        </w:rPr>
        <w:t>Concordium</w:t>
      </w:r>
      <w:proofErr w:type="spellEnd"/>
      <w:r w:rsidRPr="002814A0">
        <w:rPr>
          <w:sz w:val="32"/>
          <w:szCs w:val="32"/>
        </w:rPr>
        <w:t xml:space="preserve"> places a strong emphasis on adherence to privacy regulations and security standards, thereby facilitating confidential and secure transactions. The embedded identity layer plays a pivotal role in establishing accountability, enabling the traceability of any illicit activities occurring on the platform.</w:t>
      </w:r>
    </w:p>
    <w:p w14:paraId="1AEB2C76" w14:textId="77777777" w:rsidR="002814A0" w:rsidRPr="002814A0" w:rsidRDefault="002814A0" w:rsidP="002814A0">
      <w:pPr>
        <w:jc w:val="both"/>
        <w:rPr>
          <w:sz w:val="32"/>
          <w:szCs w:val="32"/>
        </w:rPr>
      </w:pPr>
    </w:p>
    <w:p w14:paraId="25EFE99E" w14:textId="77777777" w:rsidR="002814A0" w:rsidRPr="002814A0" w:rsidRDefault="002814A0" w:rsidP="002814A0">
      <w:pPr>
        <w:jc w:val="both"/>
        <w:rPr>
          <w:b/>
          <w:bCs/>
          <w:sz w:val="32"/>
          <w:szCs w:val="32"/>
        </w:rPr>
      </w:pPr>
      <w:r w:rsidRPr="002814A0">
        <w:rPr>
          <w:b/>
          <w:bCs/>
          <w:sz w:val="32"/>
          <w:szCs w:val="32"/>
        </w:rPr>
        <w:t>Enhanced User Experience</w:t>
      </w:r>
    </w:p>
    <w:p w14:paraId="7FE222B8" w14:textId="77777777" w:rsidR="002814A0" w:rsidRPr="002814A0" w:rsidRDefault="002814A0" w:rsidP="002814A0">
      <w:pPr>
        <w:jc w:val="both"/>
        <w:rPr>
          <w:sz w:val="32"/>
          <w:szCs w:val="32"/>
        </w:rPr>
      </w:pPr>
      <w:proofErr w:type="spellStart"/>
      <w:r w:rsidRPr="002814A0">
        <w:rPr>
          <w:sz w:val="32"/>
          <w:szCs w:val="32"/>
        </w:rPr>
        <w:t>Concordium</w:t>
      </w:r>
      <w:proofErr w:type="spellEnd"/>
      <w:r w:rsidRPr="002814A0">
        <w:rPr>
          <w:sz w:val="32"/>
          <w:szCs w:val="32"/>
        </w:rPr>
        <w:t xml:space="preserve"> boasts a user-friendly interface designed to facilitate the onboarding of new users through multiple channels, including mobile, browser, and desktop platforms. This inclusive approach caters to diverse user preferences, ensuring a seamless and accessible experience.</w:t>
      </w:r>
    </w:p>
    <w:p w14:paraId="215AE242" w14:textId="77777777" w:rsidR="002814A0" w:rsidRPr="002814A0" w:rsidRDefault="002814A0" w:rsidP="002814A0">
      <w:pPr>
        <w:jc w:val="both"/>
        <w:rPr>
          <w:rStyle w:val="Hyperlink"/>
          <w:sz w:val="32"/>
          <w:szCs w:val="32"/>
        </w:rPr>
      </w:pPr>
      <w:r w:rsidRPr="002814A0">
        <w:rPr>
          <w:sz w:val="32"/>
          <w:szCs w:val="32"/>
        </w:rPr>
        <w:fldChar w:fldCharType="begin"/>
      </w:r>
      <w:r w:rsidRPr="002814A0">
        <w:rPr>
          <w:sz w:val="32"/>
          <w:szCs w:val="32"/>
        </w:rPr>
        <w:instrText>HYPERLINK "https://youtube.com/shorts/TVX0sWjK8d0?si=VmbVi51DAO4GHnb7&amp;source=post_page-----55a99b9bab6b--------------------------------" \t "_blank"</w:instrText>
      </w:r>
      <w:r w:rsidRPr="002814A0">
        <w:rPr>
          <w:sz w:val="32"/>
          <w:szCs w:val="32"/>
        </w:rPr>
      </w:r>
      <w:r w:rsidRPr="002814A0">
        <w:rPr>
          <w:sz w:val="32"/>
          <w:szCs w:val="32"/>
        </w:rPr>
        <w:fldChar w:fldCharType="separate"/>
      </w:r>
    </w:p>
    <w:p w14:paraId="36A6C9BB" w14:textId="77777777" w:rsidR="002814A0" w:rsidRPr="002814A0" w:rsidRDefault="002814A0" w:rsidP="002814A0">
      <w:pPr>
        <w:jc w:val="both"/>
        <w:rPr>
          <w:rStyle w:val="Hyperlink"/>
          <w:b/>
          <w:bCs/>
          <w:sz w:val="32"/>
          <w:szCs w:val="32"/>
        </w:rPr>
      </w:pPr>
      <w:r w:rsidRPr="002814A0">
        <w:rPr>
          <w:rStyle w:val="Hyperlink"/>
          <w:b/>
          <w:bCs/>
          <w:sz w:val="32"/>
          <w:szCs w:val="32"/>
        </w:rPr>
        <w:t>1 March 2024</w:t>
      </w:r>
    </w:p>
    <w:p w14:paraId="3795D6E9" w14:textId="77777777" w:rsidR="002814A0" w:rsidRPr="002814A0" w:rsidRDefault="002814A0" w:rsidP="002814A0">
      <w:pPr>
        <w:jc w:val="both"/>
        <w:rPr>
          <w:rStyle w:val="Hyperlink"/>
          <w:sz w:val="32"/>
          <w:szCs w:val="32"/>
        </w:rPr>
      </w:pPr>
      <w:r w:rsidRPr="002814A0">
        <w:rPr>
          <w:rStyle w:val="Hyperlink"/>
          <w:sz w:val="32"/>
          <w:szCs w:val="32"/>
        </w:rPr>
        <w:t>youtube.com</w:t>
      </w:r>
    </w:p>
    <w:p w14:paraId="0A628988" w14:textId="77777777" w:rsidR="002814A0" w:rsidRPr="002814A0" w:rsidRDefault="002814A0" w:rsidP="002814A0">
      <w:pPr>
        <w:jc w:val="both"/>
        <w:rPr>
          <w:sz w:val="32"/>
          <w:szCs w:val="32"/>
        </w:rPr>
      </w:pPr>
      <w:r w:rsidRPr="002814A0">
        <w:rPr>
          <w:sz w:val="32"/>
          <w:szCs w:val="32"/>
        </w:rPr>
        <w:fldChar w:fldCharType="end"/>
      </w:r>
    </w:p>
    <w:p w14:paraId="0142D491" w14:textId="10B6C647" w:rsidR="002814A0" w:rsidRPr="002814A0" w:rsidRDefault="002814A0" w:rsidP="002814A0">
      <w:pPr>
        <w:jc w:val="both"/>
        <w:rPr>
          <w:sz w:val="32"/>
          <w:szCs w:val="32"/>
        </w:rPr>
      </w:pPr>
      <w:r w:rsidRPr="002814A0">
        <w:rPr>
          <w:sz w:val="32"/>
          <w:szCs w:val="32"/>
        </w:rPr>
        <w:t xml:space="preserve">In conclusion, </w:t>
      </w:r>
      <w:proofErr w:type="spellStart"/>
      <w:r w:rsidRPr="002814A0">
        <w:rPr>
          <w:sz w:val="32"/>
          <w:szCs w:val="32"/>
        </w:rPr>
        <w:t>Concordium</w:t>
      </w:r>
      <w:proofErr w:type="spellEnd"/>
      <w:r w:rsidRPr="002814A0">
        <w:rPr>
          <w:sz w:val="32"/>
          <w:szCs w:val="32"/>
        </w:rPr>
        <w:t xml:space="preserve"> is carving a distinctive niche in the realm of blockchain and digital transactions </w:t>
      </w:r>
      <w:r w:rsidRPr="002814A0">
        <w:rPr>
          <w:sz w:val="32"/>
          <w:szCs w:val="32"/>
        </w:rPr>
        <w:t>in</w:t>
      </w:r>
      <w:r w:rsidRPr="002814A0">
        <w:rPr>
          <w:sz w:val="32"/>
          <w:szCs w:val="32"/>
        </w:rPr>
        <w:t xml:space="preserve"> pursuit of excellence. Its unique perspective, rooted in principles of trust, privacy, and safety, aligns with </w:t>
      </w:r>
      <w:r w:rsidRPr="002814A0">
        <w:rPr>
          <w:sz w:val="32"/>
          <w:szCs w:val="32"/>
        </w:rPr>
        <w:lastRenderedPageBreak/>
        <w:t xml:space="preserve">the overarching mission of fostering a secure digital ecosystem. </w:t>
      </w:r>
      <w:proofErr w:type="spellStart"/>
      <w:r w:rsidRPr="002814A0">
        <w:rPr>
          <w:sz w:val="32"/>
          <w:szCs w:val="32"/>
        </w:rPr>
        <w:t>Concordium</w:t>
      </w:r>
      <w:proofErr w:type="spellEnd"/>
      <w:r w:rsidRPr="002814A0">
        <w:rPr>
          <w:sz w:val="32"/>
          <w:szCs w:val="32"/>
        </w:rPr>
        <w:t xml:space="preserve"> endeavors to empower individuals and organizations, unlocking the vast potential inherent in blockchain technology.</w:t>
      </w:r>
    </w:p>
    <w:p w14:paraId="6F235887" w14:textId="77777777" w:rsidR="00CC1478" w:rsidRPr="002814A0" w:rsidRDefault="00CC1478" w:rsidP="002814A0">
      <w:pPr>
        <w:jc w:val="both"/>
        <w:rPr>
          <w:sz w:val="32"/>
          <w:szCs w:val="32"/>
        </w:rPr>
      </w:pPr>
    </w:p>
    <w:sectPr w:rsidR="00CC1478" w:rsidRPr="00281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4A0"/>
    <w:rsid w:val="002814A0"/>
    <w:rsid w:val="004C0C32"/>
    <w:rsid w:val="00A04838"/>
    <w:rsid w:val="00CC1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5D6CC"/>
  <w15:chartTrackingRefBased/>
  <w15:docId w15:val="{E43DE282-A57E-44FB-89BC-E2123038A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4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14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14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14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14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14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4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4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4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4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14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14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14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14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14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4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4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4A0"/>
    <w:rPr>
      <w:rFonts w:eastAsiaTheme="majorEastAsia" w:cstheme="majorBidi"/>
      <w:color w:val="272727" w:themeColor="text1" w:themeTint="D8"/>
    </w:rPr>
  </w:style>
  <w:style w:type="paragraph" w:styleId="Title">
    <w:name w:val="Title"/>
    <w:basedOn w:val="Normal"/>
    <w:next w:val="Normal"/>
    <w:link w:val="TitleChar"/>
    <w:uiPriority w:val="10"/>
    <w:qFormat/>
    <w:rsid w:val="002814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4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4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4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4A0"/>
    <w:pPr>
      <w:spacing w:before="160"/>
      <w:jc w:val="center"/>
    </w:pPr>
    <w:rPr>
      <w:i/>
      <w:iCs/>
      <w:color w:val="404040" w:themeColor="text1" w:themeTint="BF"/>
    </w:rPr>
  </w:style>
  <w:style w:type="character" w:customStyle="1" w:styleId="QuoteChar">
    <w:name w:val="Quote Char"/>
    <w:basedOn w:val="DefaultParagraphFont"/>
    <w:link w:val="Quote"/>
    <w:uiPriority w:val="29"/>
    <w:rsid w:val="002814A0"/>
    <w:rPr>
      <w:i/>
      <w:iCs/>
      <w:color w:val="404040" w:themeColor="text1" w:themeTint="BF"/>
    </w:rPr>
  </w:style>
  <w:style w:type="paragraph" w:styleId="ListParagraph">
    <w:name w:val="List Paragraph"/>
    <w:basedOn w:val="Normal"/>
    <w:uiPriority w:val="34"/>
    <w:qFormat/>
    <w:rsid w:val="002814A0"/>
    <w:pPr>
      <w:ind w:left="720"/>
      <w:contextualSpacing/>
    </w:pPr>
  </w:style>
  <w:style w:type="character" w:styleId="IntenseEmphasis">
    <w:name w:val="Intense Emphasis"/>
    <w:basedOn w:val="DefaultParagraphFont"/>
    <w:uiPriority w:val="21"/>
    <w:qFormat/>
    <w:rsid w:val="002814A0"/>
    <w:rPr>
      <w:i/>
      <w:iCs/>
      <w:color w:val="2F5496" w:themeColor="accent1" w:themeShade="BF"/>
    </w:rPr>
  </w:style>
  <w:style w:type="paragraph" w:styleId="IntenseQuote">
    <w:name w:val="Intense Quote"/>
    <w:basedOn w:val="Normal"/>
    <w:next w:val="Normal"/>
    <w:link w:val="IntenseQuoteChar"/>
    <w:uiPriority w:val="30"/>
    <w:qFormat/>
    <w:rsid w:val="002814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14A0"/>
    <w:rPr>
      <w:i/>
      <w:iCs/>
      <w:color w:val="2F5496" w:themeColor="accent1" w:themeShade="BF"/>
    </w:rPr>
  </w:style>
  <w:style w:type="character" w:styleId="IntenseReference">
    <w:name w:val="Intense Reference"/>
    <w:basedOn w:val="DefaultParagraphFont"/>
    <w:uiPriority w:val="32"/>
    <w:qFormat/>
    <w:rsid w:val="002814A0"/>
    <w:rPr>
      <w:b/>
      <w:bCs/>
      <w:smallCaps/>
      <w:color w:val="2F5496" w:themeColor="accent1" w:themeShade="BF"/>
      <w:spacing w:val="5"/>
    </w:rPr>
  </w:style>
  <w:style w:type="character" w:styleId="Hyperlink">
    <w:name w:val="Hyperlink"/>
    <w:basedOn w:val="DefaultParagraphFont"/>
    <w:uiPriority w:val="99"/>
    <w:unhideWhenUsed/>
    <w:rsid w:val="002814A0"/>
    <w:rPr>
      <w:color w:val="0563C1" w:themeColor="hyperlink"/>
      <w:u w:val="single"/>
    </w:rPr>
  </w:style>
  <w:style w:type="character" w:styleId="UnresolvedMention">
    <w:name w:val="Unresolved Mention"/>
    <w:basedOn w:val="DefaultParagraphFont"/>
    <w:uiPriority w:val="99"/>
    <w:semiHidden/>
    <w:unhideWhenUsed/>
    <w:rsid w:val="00281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8523731">
      <w:bodyDiv w:val="1"/>
      <w:marLeft w:val="0"/>
      <w:marRight w:val="0"/>
      <w:marTop w:val="0"/>
      <w:marBottom w:val="0"/>
      <w:divBdr>
        <w:top w:val="none" w:sz="0" w:space="0" w:color="auto"/>
        <w:left w:val="none" w:sz="0" w:space="0" w:color="auto"/>
        <w:bottom w:val="none" w:sz="0" w:space="0" w:color="auto"/>
        <w:right w:val="none" w:sz="0" w:space="0" w:color="auto"/>
      </w:divBdr>
      <w:divsChild>
        <w:div w:id="1945501847">
          <w:marLeft w:val="0"/>
          <w:marRight w:val="0"/>
          <w:marTop w:val="0"/>
          <w:marBottom w:val="0"/>
          <w:divBdr>
            <w:top w:val="none" w:sz="0" w:space="0" w:color="auto"/>
            <w:left w:val="none" w:sz="0" w:space="0" w:color="auto"/>
            <w:bottom w:val="none" w:sz="0" w:space="0" w:color="auto"/>
            <w:right w:val="none" w:sz="0" w:space="0" w:color="auto"/>
          </w:divBdr>
        </w:div>
        <w:div w:id="323748406">
          <w:marLeft w:val="0"/>
          <w:marRight w:val="0"/>
          <w:marTop w:val="0"/>
          <w:marBottom w:val="0"/>
          <w:divBdr>
            <w:top w:val="none" w:sz="0" w:space="0" w:color="auto"/>
            <w:left w:val="none" w:sz="0" w:space="0" w:color="auto"/>
            <w:bottom w:val="none" w:sz="0" w:space="0" w:color="auto"/>
            <w:right w:val="none" w:sz="0" w:space="0" w:color="auto"/>
          </w:divBdr>
          <w:divsChild>
            <w:div w:id="371612519">
              <w:marLeft w:val="0"/>
              <w:marRight w:val="0"/>
              <w:marTop w:val="0"/>
              <w:marBottom w:val="0"/>
              <w:divBdr>
                <w:top w:val="none" w:sz="0" w:space="0" w:color="auto"/>
                <w:left w:val="none" w:sz="0" w:space="0" w:color="auto"/>
                <w:bottom w:val="none" w:sz="0" w:space="0" w:color="auto"/>
                <w:right w:val="none" w:sz="0" w:space="0" w:color="auto"/>
              </w:divBdr>
            </w:div>
          </w:divsChild>
        </w:div>
        <w:div w:id="2023167373">
          <w:marLeft w:val="0"/>
          <w:marRight w:val="0"/>
          <w:marTop w:val="480"/>
          <w:marBottom w:val="0"/>
          <w:divBdr>
            <w:top w:val="none" w:sz="0" w:space="0" w:color="auto"/>
            <w:left w:val="none" w:sz="0" w:space="0" w:color="auto"/>
            <w:bottom w:val="none" w:sz="0" w:space="0" w:color="auto"/>
            <w:right w:val="none" w:sz="0" w:space="0" w:color="auto"/>
          </w:divBdr>
          <w:divsChild>
            <w:div w:id="1505049440">
              <w:marLeft w:val="0"/>
              <w:marRight w:val="0"/>
              <w:marTop w:val="0"/>
              <w:marBottom w:val="0"/>
              <w:divBdr>
                <w:top w:val="none" w:sz="0" w:space="0" w:color="auto"/>
                <w:left w:val="none" w:sz="0" w:space="0" w:color="auto"/>
                <w:bottom w:val="none" w:sz="0" w:space="0" w:color="auto"/>
                <w:right w:val="none" w:sz="0" w:space="0" w:color="auto"/>
              </w:divBdr>
              <w:divsChild>
                <w:div w:id="374160360">
                  <w:marLeft w:val="0"/>
                  <w:marRight w:val="0"/>
                  <w:marTop w:val="0"/>
                  <w:marBottom w:val="0"/>
                  <w:divBdr>
                    <w:top w:val="none" w:sz="0" w:space="0" w:color="auto"/>
                    <w:left w:val="none" w:sz="0" w:space="0" w:color="auto"/>
                    <w:bottom w:val="none" w:sz="0" w:space="0" w:color="auto"/>
                    <w:right w:val="none" w:sz="0" w:space="0" w:color="auto"/>
                  </w:divBdr>
                  <w:divsChild>
                    <w:div w:id="84825717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890220868">
      <w:bodyDiv w:val="1"/>
      <w:marLeft w:val="0"/>
      <w:marRight w:val="0"/>
      <w:marTop w:val="0"/>
      <w:marBottom w:val="0"/>
      <w:divBdr>
        <w:top w:val="none" w:sz="0" w:space="0" w:color="auto"/>
        <w:left w:val="none" w:sz="0" w:space="0" w:color="auto"/>
        <w:bottom w:val="none" w:sz="0" w:space="0" w:color="auto"/>
        <w:right w:val="none" w:sz="0" w:space="0" w:color="auto"/>
      </w:divBdr>
      <w:divsChild>
        <w:div w:id="1819684327">
          <w:marLeft w:val="0"/>
          <w:marRight w:val="0"/>
          <w:marTop w:val="0"/>
          <w:marBottom w:val="0"/>
          <w:divBdr>
            <w:top w:val="none" w:sz="0" w:space="0" w:color="auto"/>
            <w:left w:val="none" w:sz="0" w:space="0" w:color="auto"/>
            <w:bottom w:val="none" w:sz="0" w:space="0" w:color="auto"/>
            <w:right w:val="none" w:sz="0" w:space="0" w:color="auto"/>
          </w:divBdr>
        </w:div>
        <w:div w:id="559445973">
          <w:marLeft w:val="0"/>
          <w:marRight w:val="0"/>
          <w:marTop w:val="0"/>
          <w:marBottom w:val="0"/>
          <w:divBdr>
            <w:top w:val="none" w:sz="0" w:space="0" w:color="auto"/>
            <w:left w:val="none" w:sz="0" w:space="0" w:color="auto"/>
            <w:bottom w:val="none" w:sz="0" w:space="0" w:color="auto"/>
            <w:right w:val="none" w:sz="0" w:space="0" w:color="auto"/>
          </w:divBdr>
          <w:divsChild>
            <w:div w:id="69817200">
              <w:marLeft w:val="0"/>
              <w:marRight w:val="0"/>
              <w:marTop w:val="0"/>
              <w:marBottom w:val="0"/>
              <w:divBdr>
                <w:top w:val="none" w:sz="0" w:space="0" w:color="auto"/>
                <w:left w:val="none" w:sz="0" w:space="0" w:color="auto"/>
                <w:bottom w:val="none" w:sz="0" w:space="0" w:color="auto"/>
                <w:right w:val="none" w:sz="0" w:space="0" w:color="auto"/>
              </w:divBdr>
            </w:div>
          </w:divsChild>
        </w:div>
        <w:div w:id="2137985065">
          <w:marLeft w:val="0"/>
          <w:marRight w:val="0"/>
          <w:marTop w:val="480"/>
          <w:marBottom w:val="0"/>
          <w:divBdr>
            <w:top w:val="none" w:sz="0" w:space="0" w:color="auto"/>
            <w:left w:val="none" w:sz="0" w:space="0" w:color="auto"/>
            <w:bottom w:val="none" w:sz="0" w:space="0" w:color="auto"/>
            <w:right w:val="none" w:sz="0" w:space="0" w:color="auto"/>
          </w:divBdr>
          <w:divsChild>
            <w:div w:id="1680306931">
              <w:marLeft w:val="0"/>
              <w:marRight w:val="0"/>
              <w:marTop w:val="0"/>
              <w:marBottom w:val="0"/>
              <w:divBdr>
                <w:top w:val="none" w:sz="0" w:space="0" w:color="auto"/>
                <w:left w:val="none" w:sz="0" w:space="0" w:color="auto"/>
                <w:bottom w:val="none" w:sz="0" w:space="0" w:color="auto"/>
                <w:right w:val="none" w:sz="0" w:space="0" w:color="auto"/>
              </w:divBdr>
              <w:divsChild>
                <w:div w:id="2129739663">
                  <w:marLeft w:val="0"/>
                  <w:marRight w:val="0"/>
                  <w:marTop w:val="0"/>
                  <w:marBottom w:val="0"/>
                  <w:divBdr>
                    <w:top w:val="none" w:sz="0" w:space="0" w:color="auto"/>
                    <w:left w:val="none" w:sz="0" w:space="0" w:color="auto"/>
                    <w:bottom w:val="none" w:sz="0" w:space="0" w:color="auto"/>
                    <w:right w:val="none" w:sz="0" w:space="0" w:color="auto"/>
                  </w:divBdr>
                  <w:divsChild>
                    <w:div w:id="17407353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412</Words>
  <Characters>2351</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Kuda Finance3</dc:creator>
  <cp:keywords/>
  <dc:description/>
  <cp:lastModifiedBy>Kuda Finance3</cp:lastModifiedBy>
  <cp:revision>2</cp:revision>
  <dcterms:created xsi:type="dcterms:W3CDTF">2024-09-27T15:24:00Z</dcterms:created>
  <dcterms:modified xsi:type="dcterms:W3CDTF">2024-09-27T15:27:00Z</dcterms:modified>
</cp:coreProperties>
</file>