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C3C6"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r w:rsidRPr="007538A9">
        <w:rPr>
          <w:rFonts w:ascii="Arial" w:eastAsia="Verdana" w:hAnsi="Arial" w:cs="Arial"/>
          <w:b/>
          <w:bCs/>
          <w:color w:val="2F5496" w:themeColor="accent1" w:themeShade="BF"/>
          <w:sz w:val="24"/>
          <w:szCs w:val="24"/>
          <w:lang w:val="en-GB"/>
        </w:rPr>
        <w:t>GROUP – 03</w:t>
      </w:r>
    </w:p>
    <w:p w14:paraId="1BAA7E43" w14:textId="77777777" w:rsidR="007538A9" w:rsidRDefault="00284384" w:rsidP="00F71614">
      <w:pPr>
        <w:spacing w:line="480" w:lineRule="auto"/>
        <w:jc w:val="both"/>
        <w:rPr>
          <w:rFonts w:ascii="Arial" w:eastAsia="Verdana" w:hAnsi="Arial" w:cs="Arial"/>
          <w:b/>
          <w:bCs/>
          <w:color w:val="2F5496" w:themeColor="accent1" w:themeShade="BF"/>
          <w:sz w:val="24"/>
          <w:szCs w:val="24"/>
          <w:lang w:val="en-GB"/>
        </w:rPr>
      </w:pPr>
      <w:r w:rsidRPr="007538A9">
        <w:rPr>
          <w:rFonts w:ascii="Arial" w:eastAsia="Verdana" w:hAnsi="Arial" w:cs="Arial"/>
          <w:b/>
          <w:bCs/>
          <w:color w:val="2F5496" w:themeColor="accent1" w:themeShade="BF"/>
          <w:sz w:val="24"/>
          <w:szCs w:val="24"/>
          <w:lang w:val="en-GB"/>
        </w:rPr>
        <w:t xml:space="preserve">Assessment Part </w:t>
      </w:r>
      <w:r w:rsidR="007538A9">
        <w:rPr>
          <w:rFonts w:ascii="Arial" w:eastAsia="Verdana" w:hAnsi="Arial" w:cs="Arial"/>
          <w:b/>
          <w:bCs/>
          <w:color w:val="2F5496" w:themeColor="accent1" w:themeShade="BF"/>
          <w:sz w:val="24"/>
          <w:szCs w:val="24"/>
          <w:lang w:val="en-GB"/>
        </w:rPr>
        <w:t>2</w:t>
      </w:r>
      <w:r w:rsidRPr="007538A9">
        <w:rPr>
          <w:rFonts w:ascii="Arial" w:eastAsia="Verdana" w:hAnsi="Arial" w:cs="Arial"/>
          <w:b/>
          <w:bCs/>
          <w:color w:val="2F5496" w:themeColor="accent1" w:themeShade="BF"/>
          <w:sz w:val="24"/>
          <w:szCs w:val="24"/>
          <w:lang w:val="en-GB"/>
        </w:rPr>
        <w:t xml:space="preserve">: </w:t>
      </w:r>
    </w:p>
    <w:p w14:paraId="13AC6ADC" w14:textId="4313C573" w:rsidR="004D2972" w:rsidRPr="007538A9" w:rsidRDefault="007538A9" w:rsidP="00F71614">
      <w:pPr>
        <w:pStyle w:val="Heading2"/>
        <w:shd w:val="clear" w:color="auto" w:fill="FFFFFF"/>
        <w:spacing w:before="0" w:after="300" w:line="480" w:lineRule="auto"/>
        <w:jc w:val="both"/>
        <w:rPr>
          <w:rFonts w:ascii="Arial" w:hAnsi="Arial" w:cs="Arial"/>
          <w:color w:val="373A3C"/>
        </w:rPr>
      </w:pPr>
      <w:r w:rsidRPr="007538A9">
        <w:rPr>
          <w:rFonts w:ascii="Arial" w:eastAsia="Verdana" w:hAnsi="Arial" w:cs="Arial"/>
          <w:b/>
          <w:bCs/>
          <w:sz w:val="24"/>
          <w:szCs w:val="24"/>
          <w:lang w:val="en-GB"/>
        </w:rPr>
        <w:t>Development Team Project:</w:t>
      </w:r>
      <w:r>
        <w:rPr>
          <w:rFonts w:ascii="Arial" w:hAnsi="Arial" w:cs="Arial"/>
          <w:color w:val="373A3C"/>
        </w:rPr>
        <w:t xml:space="preserve"> </w:t>
      </w:r>
      <w:r w:rsidR="00284384" w:rsidRPr="007538A9">
        <w:rPr>
          <w:rFonts w:ascii="Arial" w:eastAsia="Verdana" w:hAnsi="Arial" w:cs="Arial"/>
          <w:b/>
          <w:bCs/>
          <w:sz w:val="24"/>
          <w:szCs w:val="24"/>
          <w:lang w:val="en-GB"/>
        </w:rPr>
        <w:t>Executive Summary</w:t>
      </w:r>
      <w:r w:rsidR="004D2972" w:rsidRPr="007538A9">
        <w:rPr>
          <w:rFonts w:ascii="Arial" w:eastAsia="Verdana" w:hAnsi="Arial" w:cs="Arial"/>
          <w:b/>
          <w:bCs/>
          <w:sz w:val="24"/>
          <w:szCs w:val="24"/>
          <w:lang w:val="en-GB"/>
        </w:rPr>
        <w:t xml:space="preserve"> </w:t>
      </w:r>
    </w:p>
    <w:p w14:paraId="588C2AEC"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r w:rsidRPr="007538A9">
        <w:rPr>
          <w:rFonts w:ascii="Arial" w:eastAsia="Verdana" w:hAnsi="Arial" w:cs="Arial"/>
          <w:b/>
          <w:bCs/>
          <w:color w:val="2F5496" w:themeColor="accent1" w:themeShade="BF"/>
          <w:sz w:val="24"/>
          <w:szCs w:val="24"/>
          <w:lang w:val="en-GB"/>
        </w:rPr>
        <w:t>Module Name - Security and Risk Management March 2023</w:t>
      </w:r>
    </w:p>
    <w:p w14:paraId="145797FF"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7F6ED990"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5A9D77E6"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660DA5DE"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34A12465"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24FDFC01"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3EB96684"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699E999C"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0477F6B4"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094002A1"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77B1868B" w14:textId="7777777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p>
    <w:p w14:paraId="70837B34" w14:textId="0704E927" w:rsidR="004D2972" w:rsidRPr="007538A9" w:rsidRDefault="004D2972" w:rsidP="00F71614">
      <w:pPr>
        <w:spacing w:line="480" w:lineRule="auto"/>
        <w:jc w:val="both"/>
        <w:rPr>
          <w:rFonts w:ascii="Arial" w:eastAsia="Verdana" w:hAnsi="Arial" w:cs="Arial"/>
          <w:b/>
          <w:bCs/>
          <w:color w:val="2F5496" w:themeColor="accent1" w:themeShade="BF"/>
          <w:sz w:val="24"/>
          <w:szCs w:val="24"/>
          <w:lang w:val="en-GB"/>
        </w:rPr>
      </w:pPr>
      <w:r w:rsidRPr="007538A9">
        <w:rPr>
          <w:rFonts w:ascii="Arial" w:eastAsia="Verdana" w:hAnsi="Arial" w:cs="Arial"/>
          <w:b/>
          <w:bCs/>
          <w:color w:val="2F5496" w:themeColor="accent1" w:themeShade="BF"/>
          <w:sz w:val="24"/>
          <w:szCs w:val="24"/>
          <w:lang w:val="en-GB"/>
        </w:rPr>
        <w:t xml:space="preserve">Word Count - </w:t>
      </w:r>
      <w:r w:rsidR="00D40D40">
        <w:rPr>
          <w:rFonts w:ascii="Arial" w:eastAsia="Verdana" w:hAnsi="Arial" w:cs="Arial"/>
          <w:b/>
          <w:bCs/>
          <w:color w:val="2F5496" w:themeColor="accent1" w:themeShade="BF"/>
          <w:sz w:val="24"/>
          <w:szCs w:val="24"/>
          <w:lang w:val="en-GB"/>
        </w:rPr>
        <w:t>1994</w:t>
      </w:r>
    </w:p>
    <w:p w14:paraId="38FF4914" w14:textId="77777777" w:rsidR="004D2972" w:rsidRPr="007538A9" w:rsidRDefault="004D2972" w:rsidP="00F71614">
      <w:pPr>
        <w:pStyle w:val="ListParagraph"/>
        <w:spacing w:line="480" w:lineRule="auto"/>
        <w:jc w:val="both"/>
        <w:rPr>
          <w:rFonts w:ascii="Arial" w:hAnsi="Arial" w:cs="Arial"/>
          <w:b/>
          <w:bCs/>
          <w:sz w:val="24"/>
          <w:szCs w:val="24"/>
        </w:rPr>
      </w:pPr>
    </w:p>
    <w:p w14:paraId="78EE1408" w14:textId="77777777" w:rsidR="004D2972" w:rsidRPr="007538A9" w:rsidRDefault="004D2972" w:rsidP="00F71614">
      <w:pPr>
        <w:spacing w:line="480" w:lineRule="auto"/>
        <w:jc w:val="both"/>
        <w:rPr>
          <w:rFonts w:ascii="Arial" w:hAnsi="Arial" w:cs="Arial"/>
          <w:b/>
          <w:bCs/>
          <w:sz w:val="24"/>
          <w:szCs w:val="24"/>
        </w:rPr>
      </w:pPr>
      <w:r w:rsidRPr="007538A9">
        <w:rPr>
          <w:rFonts w:ascii="Arial" w:hAnsi="Arial" w:cs="Arial"/>
          <w:b/>
          <w:bCs/>
          <w:sz w:val="24"/>
          <w:szCs w:val="24"/>
        </w:rPr>
        <w:br w:type="page"/>
      </w:r>
    </w:p>
    <w:p w14:paraId="0746D7B0" w14:textId="34A35484" w:rsidR="006C4B04" w:rsidRPr="00F71614" w:rsidRDefault="006C4B04" w:rsidP="008F21D8">
      <w:pPr>
        <w:pStyle w:val="ListParagraph"/>
        <w:numPr>
          <w:ilvl w:val="0"/>
          <w:numId w:val="1"/>
        </w:numPr>
        <w:spacing w:line="480" w:lineRule="auto"/>
        <w:ind w:left="426" w:hanging="426"/>
        <w:jc w:val="both"/>
        <w:rPr>
          <w:rFonts w:ascii="Arial" w:eastAsia="Verdana" w:hAnsi="Arial" w:cs="Arial"/>
          <w:b/>
          <w:bCs/>
          <w:color w:val="2F5496" w:themeColor="accent1" w:themeShade="BF"/>
          <w:kern w:val="0"/>
          <w:sz w:val="24"/>
          <w:szCs w:val="24"/>
          <w:lang w:val="en-GB"/>
          <w14:ligatures w14:val="none"/>
        </w:rPr>
      </w:pPr>
      <w:r w:rsidRPr="00F71614">
        <w:rPr>
          <w:rFonts w:ascii="Arial" w:eastAsia="Verdana" w:hAnsi="Arial" w:cs="Arial"/>
          <w:b/>
          <w:bCs/>
          <w:color w:val="2F5496" w:themeColor="accent1" w:themeShade="BF"/>
          <w:kern w:val="0"/>
          <w:sz w:val="24"/>
          <w:szCs w:val="24"/>
          <w:lang w:val="en-GB"/>
          <w14:ligatures w14:val="none"/>
        </w:rPr>
        <w:lastRenderedPageBreak/>
        <w:t>Quantitative risk modelling approach:</w:t>
      </w:r>
    </w:p>
    <w:p w14:paraId="51A40296" w14:textId="4E1AF6D2" w:rsidR="003A5BF5" w:rsidRPr="007538A9" w:rsidRDefault="00441326" w:rsidP="008F21D8">
      <w:pPr>
        <w:pStyle w:val="ListParagraph"/>
        <w:spacing w:line="480" w:lineRule="auto"/>
        <w:ind w:left="426"/>
        <w:jc w:val="both"/>
        <w:rPr>
          <w:rFonts w:ascii="Arial" w:hAnsi="Arial" w:cs="Arial"/>
          <w:sz w:val="24"/>
          <w:szCs w:val="24"/>
        </w:rPr>
      </w:pPr>
      <w:r w:rsidRPr="007538A9">
        <w:rPr>
          <w:rFonts w:ascii="Arial" w:hAnsi="Arial" w:cs="Arial"/>
          <w:sz w:val="24"/>
          <w:szCs w:val="24"/>
        </w:rPr>
        <w:t xml:space="preserve">Expected monetary value (EMV) risk analysis: This is the </w:t>
      </w:r>
      <w:r w:rsidR="00F62C41" w:rsidRPr="007538A9">
        <w:rPr>
          <w:rFonts w:ascii="Arial" w:hAnsi="Arial" w:cs="Arial"/>
          <w:sz w:val="24"/>
          <w:szCs w:val="24"/>
        </w:rPr>
        <w:t>simplest</w:t>
      </w:r>
      <w:r w:rsidRPr="007538A9">
        <w:rPr>
          <w:rFonts w:ascii="Arial" w:hAnsi="Arial" w:cs="Arial"/>
          <w:sz w:val="24"/>
          <w:szCs w:val="24"/>
        </w:rPr>
        <w:t xml:space="preserve"> form of quantitative risk analysis. An EMV analysis is one of two techniques used in quantitative risk analysis. This statistical concept considers all </w:t>
      </w:r>
      <w:r w:rsidR="007F54D2" w:rsidRPr="007538A9">
        <w:rPr>
          <w:rFonts w:ascii="Arial" w:hAnsi="Arial" w:cs="Arial"/>
          <w:sz w:val="24"/>
          <w:szCs w:val="24"/>
        </w:rPr>
        <w:t>probable future</w:t>
      </w:r>
      <w:r w:rsidRPr="007538A9">
        <w:rPr>
          <w:rFonts w:ascii="Arial" w:hAnsi="Arial" w:cs="Arial"/>
          <w:sz w:val="24"/>
          <w:szCs w:val="24"/>
        </w:rPr>
        <w:t xml:space="preserve"> outcomes to calculate the </w:t>
      </w:r>
      <w:r w:rsidR="007F54D2" w:rsidRPr="007538A9">
        <w:rPr>
          <w:rFonts w:ascii="Arial" w:hAnsi="Arial" w:cs="Arial"/>
          <w:sz w:val="24"/>
          <w:szCs w:val="24"/>
        </w:rPr>
        <w:t>average</w:t>
      </w:r>
      <w:r w:rsidRPr="007538A9">
        <w:rPr>
          <w:rFonts w:ascii="Arial" w:hAnsi="Arial" w:cs="Arial"/>
          <w:sz w:val="24"/>
          <w:szCs w:val="24"/>
        </w:rPr>
        <w:t xml:space="preserve"> outcome</w:t>
      </w:r>
      <w:sdt>
        <w:sdtPr>
          <w:rPr>
            <w:rFonts w:ascii="Arial" w:hAnsi="Arial" w:cs="Arial"/>
            <w:sz w:val="24"/>
            <w:szCs w:val="24"/>
          </w:rPr>
          <w:id w:val="1393389887"/>
          <w:citation/>
        </w:sdtPr>
        <w:sdtContent>
          <w:r w:rsidR="0046423A" w:rsidRPr="007538A9">
            <w:rPr>
              <w:rFonts w:ascii="Arial" w:hAnsi="Arial" w:cs="Arial"/>
              <w:sz w:val="24"/>
              <w:szCs w:val="24"/>
            </w:rPr>
            <w:fldChar w:fldCharType="begin"/>
          </w:r>
          <w:r w:rsidR="0046423A" w:rsidRPr="007538A9">
            <w:rPr>
              <w:rFonts w:ascii="Arial" w:hAnsi="Arial" w:cs="Arial"/>
              <w:sz w:val="24"/>
              <w:szCs w:val="24"/>
            </w:rPr>
            <w:instrText xml:space="preserve"> CITATION Tuo22 \l 1033 </w:instrText>
          </w:r>
          <w:r w:rsidR="0046423A" w:rsidRPr="007538A9">
            <w:rPr>
              <w:rFonts w:ascii="Arial" w:hAnsi="Arial" w:cs="Arial"/>
              <w:sz w:val="24"/>
              <w:szCs w:val="24"/>
            </w:rPr>
            <w:fldChar w:fldCharType="separate"/>
          </w:r>
          <w:r w:rsidR="001F7CFE" w:rsidRPr="007538A9">
            <w:rPr>
              <w:rFonts w:ascii="Arial" w:hAnsi="Arial" w:cs="Arial"/>
              <w:noProof/>
              <w:sz w:val="24"/>
              <w:szCs w:val="24"/>
            </w:rPr>
            <w:t xml:space="preserve"> (Tuomas, 2022)</w:t>
          </w:r>
          <w:r w:rsidR="0046423A" w:rsidRPr="007538A9">
            <w:rPr>
              <w:rFonts w:ascii="Arial" w:hAnsi="Arial" w:cs="Arial"/>
              <w:sz w:val="24"/>
              <w:szCs w:val="24"/>
            </w:rPr>
            <w:fldChar w:fldCharType="end"/>
          </w:r>
        </w:sdtContent>
      </w:sdt>
      <w:r w:rsidRPr="007538A9">
        <w:rPr>
          <w:rFonts w:ascii="Arial" w:hAnsi="Arial" w:cs="Arial"/>
          <w:sz w:val="24"/>
          <w:szCs w:val="24"/>
        </w:rPr>
        <w:t xml:space="preserve"> . In an EMV analysis, all we need is </w:t>
      </w:r>
      <w:r w:rsidR="00F62C41" w:rsidRPr="007538A9">
        <w:rPr>
          <w:rFonts w:ascii="Arial" w:hAnsi="Arial" w:cs="Arial"/>
          <w:sz w:val="24"/>
          <w:szCs w:val="24"/>
        </w:rPr>
        <w:t>the</w:t>
      </w:r>
      <w:r w:rsidRPr="007538A9">
        <w:rPr>
          <w:rFonts w:ascii="Arial" w:hAnsi="Arial" w:cs="Arial"/>
          <w:sz w:val="24"/>
          <w:szCs w:val="24"/>
        </w:rPr>
        <w:t xml:space="preserve"> expected cost of a risk we face and the probability of that risk occurring. </w:t>
      </w:r>
      <w:r w:rsidR="00F62C41" w:rsidRPr="007538A9">
        <w:rPr>
          <w:rFonts w:ascii="Arial" w:hAnsi="Arial" w:cs="Arial"/>
          <w:sz w:val="24"/>
          <w:szCs w:val="24"/>
        </w:rPr>
        <w:t>We</w:t>
      </w:r>
      <w:r w:rsidRPr="007538A9">
        <w:rPr>
          <w:rFonts w:ascii="Arial" w:hAnsi="Arial" w:cs="Arial"/>
          <w:sz w:val="24"/>
          <w:szCs w:val="24"/>
        </w:rPr>
        <w:t xml:space="preserve"> often set these values through a combination of analyzing data, consulting with </w:t>
      </w:r>
      <w:r w:rsidR="007F54D2" w:rsidRPr="007538A9">
        <w:rPr>
          <w:rFonts w:ascii="Arial" w:hAnsi="Arial" w:cs="Arial"/>
          <w:sz w:val="24"/>
          <w:szCs w:val="24"/>
        </w:rPr>
        <w:t>experts,</w:t>
      </w:r>
      <w:r w:rsidRPr="007538A9">
        <w:rPr>
          <w:rFonts w:ascii="Arial" w:hAnsi="Arial" w:cs="Arial"/>
          <w:sz w:val="24"/>
          <w:szCs w:val="24"/>
        </w:rPr>
        <w:t xml:space="preserve"> and estimating from experience. By multiplying the cost of each risk by its probability and adding up all the resulting numbers, we generate an overall projected risk amount for the project. </w:t>
      </w:r>
    </w:p>
    <w:p w14:paraId="7CD3DF67" w14:textId="77777777" w:rsidR="00785DD4" w:rsidRPr="007538A9" w:rsidRDefault="00785DD4" w:rsidP="008F21D8">
      <w:pPr>
        <w:pStyle w:val="ListParagraph"/>
        <w:spacing w:line="480" w:lineRule="auto"/>
        <w:ind w:left="426" w:hanging="426"/>
        <w:jc w:val="both"/>
        <w:rPr>
          <w:rFonts w:ascii="Arial" w:hAnsi="Arial" w:cs="Arial"/>
          <w:sz w:val="24"/>
          <w:szCs w:val="24"/>
        </w:rPr>
      </w:pPr>
    </w:p>
    <w:p w14:paraId="4B9B6A2C" w14:textId="2D3AD532" w:rsidR="00441326" w:rsidRPr="007538A9" w:rsidRDefault="00441326" w:rsidP="008F21D8">
      <w:pPr>
        <w:pStyle w:val="ListParagraph"/>
        <w:numPr>
          <w:ilvl w:val="0"/>
          <w:numId w:val="1"/>
        </w:numPr>
        <w:spacing w:before="100" w:beforeAutospacing="1" w:after="100" w:afterAutospacing="1" w:line="480" w:lineRule="auto"/>
        <w:ind w:left="426" w:hanging="426"/>
        <w:jc w:val="both"/>
        <w:rPr>
          <w:rFonts w:ascii="Arial" w:eastAsia="Times New Roman" w:hAnsi="Arial" w:cs="Arial"/>
          <w:kern w:val="0"/>
          <w:sz w:val="24"/>
          <w:szCs w:val="24"/>
          <w14:ligatures w14:val="none"/>
        </w:rPr>
      </w:pPr>
      <w:r w:rsidRPr="00F71614">
        <w:rPr>
          <w:rFonts w:ascii="Arial" w:eastAsia="Verdana" w:hAnsi="Arial" w:cs="Arial"/>
          <w:b/>
          <w:bCs/>
          <w:color w:val="2F5496" w:themeColor="accent1" w:themeShade="BF"/>
          <w:kern w:val="0"/>
          <w:sz w:val="24"/>
          <w:szCs w:val="24"/>
          <w:lang w:val="en-GB"/>
          <w14:ligatures w14:val="none"/>
        </w:rPr>
        <w:t>Internal supply chain risks include risk events caused by</w:t>
      </w:r>
      <w:r w:rsidR="00785DD4" w:rsidRPr="007538A9">
        <w:rPr>
          <w:rFonts w:ascii="Arial" w:eastAsia="Times New Roman" w:hAnsi="Arial" w:cs="Arial"/>
          <w:b/>
          <w:bCs/>
          <w:kern w:val="0"/>
          <w:sz w:val="24"/>
          <w:szCs w:val="24"/>
          <w14:ligatures w14:val="none"/>
        </w:rPr>
        <w:t xml:space="preserve"> </w:t>
      </w:r>
      <w:sdt>
        <w:sdtPr>
          <w:rPr>
            <w:rFonts w:ascii="Arial" w:eastAsia="Times New Roman" w:hAnsi="Arial" w:cs="Arial"/>
            <w:b/>
            <w:bCs/>
            <w:kern w:val="0"/>
            <w:sz w:val="24"/>
            <w:szCs w:val="24"/>
            <w14:ligatures w14:val="none"/>
          </w:rPr>
          <w:id w:val="-807554203"/>
          <w:citation/>
        </w:sdtPr>
        <w:sdtContent>
          <w:r w:rsidR="0046423A" w:rsidRPr="007538A9">
            <w:rPr>
              <w:rFonts w:ascii="Arial" w:eastAsia="Times New Roman" w:hAnsi="Arial" w:cs="Arial"/>
              <w:b/>
              <w:bCs/>
              <w:kern w:val="0"/>
              <w:sz w:val="24"/>
              <w:szCs w:val="24"/>
              <w14:ligatures w14:val="none"/>
            </w:rPr>
            <w:fldChar w:fldCharType="begin"/>
          </w:r>
          <w:r w:rsidR="0046423A" w:rsidRPr="007538A9">
            <w:rPr>
              <w:rFonts w:ascii="Arial" w:eastAsia="Times New Roman" w:hAnsi="Arial" w:cs="Arial"/>
              <w:kern w:val="0"/>
              <w:sz w:val="24"/>
              <w:szCs w:val="24"/>
              <w14:ligatures w14:val="none"/>
            </w:rPr>
            <w:instrText xml:space="preserve"> CITATION Sha13 \l 1033 </w:instrText>
          </w:r>
          <w:r w:rsidR="0046423A" w:rsidRPr="007538A9">
            <w:rPr>
              <w:rFonts w:ascii="Arial" w:eastAsia="Times New Roman" w:hAnsi="Arial" w:cs="Arial"/>
              <w:b/>
              <w:bCs/>
              <w:kern w:val="0"/>
              <w:sz w:val="24"/>
              <w:szCs w:val="24"/>
              <w14:ligatures w14:val="none"/>
            </w:rPr>
            <w:fldChar w:fldCharType="separate"/>
          </w:r>
          <w:r w:rsidR="001F7CFE" w:rsidRPr="007538A9">
            <w:rPr>
              <w:rFonts w:ascii="Arial" w:eastAsia="Times New Roman" w:hAnsi="Arial" w:cs="Arial"/>
              <w:noProof/>
              <w:kern w:val="0"/>
              <w:sz w:val="24"/>
              <w:szCs w:val="24"/>
              <w14:ligatures w14:val="none"/>
            </w:rPr>
            <w:t>(Shahram, et al., 2013)</w:t>
          </w:r>
          <w:r w:rsidR="0046423A" w:rsidRPr="007538A9">
            <w:rPr>
              <w:rFonts w:ascii="Arial" w:eastAsia="Times New Roman" w:hAnsi="Arial" w:cs="Arial"/>
              <w:b/>
              <w:bCs/>
              <w:kern w:val="0"/>
              <w:sz w:val="24"/>
              <w:szCs w:val="24"/>
              <w14:ligatures w14:val="none"/>
            </w:rPr>
            <w:fldChar w:fldCharType="end"/>
          </w:r>
        </w:sdtContent>
      </w:sdt>
      <w:r w:rsidRPr="007538A9">
        <w:rPr>
          <w:rFonts w:ascii="Arial" w:eastAsia="Times New Roman" w:hAnsi="Arial" w:cs="Arial"/>
          <w:b/>
          <w:bCs/>
          <w:kern w:val="0"/>
          <w:sz w:val="24"/>
          <w:szCs w:val="24"/>
          <w14:ligatures w14:val="none"/>
        </w:rPr>
        <w:t>:</w:t>
      </w:r>
    </w:p>
    <w:p w14:paraId="2444ED15" w14:textId="2E28F79C" w:rsidR="00441326" w:rsidRPr="007538A9" w:rsidRDefault="00441326"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 xml:space="preserve">Disruptions of internal </w:t>
      </w:r>
      <w:r w:rsidR="00785DD4" w:rsidRPr="007538A9">
        <w:rPr>
          <w:rFonts w:ascii="Arial" w:eastAsia="Times New Roman" w:hAnsi="Arial" w:cs="Arial"/>
          <w:kern w:val="0"/>
          <w:sz w:val="24"/>
          <w:szCs w:val="24"/>
          <w14:ligatures w14:val="none"/>
        </w:rPr>
        <w:t>operations.</w:t>
      </w:r>
    </w:p>
    <w:p w14:paraId="2E11E6CD" w14:textId="4EB90C4A" w:rsidR="00785DD4" w:rsidRPr="007538A9" w:rsidRDefault="00785DD4"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Price Increases: Rising prices are caused by changes in supply or demand, currency instability, and customs tariffs</w:t>
      </w:r>
      <w:r w:rsidR="0046423A" w:rsidRPr="007538A9">
        <w:rPr>
          <w:rFonts w:ascii="Arial" w:eastAsia="Times New Roman" w:hAnsi="Arial" w:cs="Arial"/>
          <w:kern w:val="0"/>
          <w:sz w:val="24"/>
          <w:szCs w:val="24"/>
          <w14:ligatures w14:val="none"/>
        </w:rPr>
        <w:t>.</w:t>
      </w:r>
    </w:p>
    <w:p w14:paraId="79D1C699" w14:textId="7DB3CEE5" w:rsidR="00785DD4" w:rsidRPr="007538A9" w:rsidRDefault="00785DD4"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 xml:space="preserve">Shortages: These can arise from lacking a component, material, or part needed to produce a finished product. </w:t>
      </w:r>
    </w:p>
    <w:p w14:paraId="5A233159" w14:textId="7615358D" w:rsidR="00785DD4" w:rsidRPr="007538A9" w:rsidRDefault="00785DD4"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Supplier Relationships</w:t>
      </w:r>
    </w:p>
    <w:p w14:paraId="290B72B4" w14:textId="5BC88433" w:rsidR="00785DD4" w:rsidRPr="007538A9" w:rsidRDefault="00785DD4"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 xml:space="preserve">Quality Failures: Quality failures occur when shipments of certain parts </w:t>
      </w:r>
      <w:r w:rsidR="007F54D2" w:rsidRPr="007538A9">
        <w:rPr>
          <w:rFonts w:ascii="Arial" w:eastAsia="Times New Roman" w:hAnsi="Arial" w:cs="Arial"/>
          <w:kern w:val="0"/>
          <w:sz w:val="24"/>
          <w:szCs w:val="24"/>
          <w14:ligatures w14:val="none"/>
        </w:rPr>
        <w:t>do not</w:t>
      </w:r>
      <w:r w:rsidRPr="007538A9">
        <w:rPr>
          <w:rFonts w:ascii="Arial" w:eastAsia="Times New Roman" w:hAnsi="Arial" w:cs="Arial"/>
          <w:kern w:val="0"/>
          <w:sz w:val="24"/>
          <w:szCs w:val="24"/>
          <w14:ligatures w14:val="none"/>
        </w:rPr>
        <w:t xml:space="preserve"> meet the specifications</w:t>
      </w:r>
      <w:r w:rsidR="0046423A" w:rsidRPr="007538A9">
        <w:rPr>
          <w:rFonts w:ascii="Arial" w:eastAsia="Times New Roman" w:hAnsi="Arial" w:cs="Arial"/>
          <w:kern w:val="0"/>
          <w:sz w:val="24"/>
          <w:szCs w:val="24"/>
          <w14:ligatures w14:val="none"/>
        </w:rPr>
        <w:t>.</w:t>
      </w:r>
    </w:p>
    <w:p w14:paraId="0FF7EC53" w14:textId="77777777" w:rsidR="00785DD4" w:rsidRPr="007538A9" w:rsidRDefault="00785DD4" w:rsidP="00B0451A">
      <w:pPr>
        <w:numPr>
          <w:ilvl w:val="0"/>
          <w:numId w:val="20"/>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Delivery Failures: Carrier and logistical issues can result in late deliveries, damaged packages, or lost shipments.</w:t>
      </w:r>
    </w:p>
    <w:p w14:paraId="33DCE8E4" w14:textId="77777777" w:rsidR="00907E69" w:rsidRPr="007538A9" w:rsidRDefault="00785DD4" w:rsidP="00B0451A">
      <w:pPr>
        <w:numPr>
          <w:ilvl w:val="0"/>
          <w:numId w:val="20"/>
        </w:numPr>
        <w:spacing w:before="100" w:beforeAutospacing="1" w:after="100" w:afterAutospacing="1" w:line="480" w:lineRule="auto"/>
        <w:jc w:val="both"/>
        <w:rPr>
          <w:rFonts w:ascii="Arial" w:hAnsi="Arial" w:cs="Arial"/>
          <w:i/>
          <w:iCs/>
          <w:sz w:val="24"/>
          <w:szCs w:val="24"/>
        </w:rPr>
      </w:pPr>
      <w:r w:rsidRPr="007538A9">
        <w:rPr>
          <w:rFonts w:ascii="Arial" w:eastAsia="Times New Roman" w:hAnsi="Arial" w:cs="Arial"/>
          <w:kern w:val="0"/>
          <w:sz w:val="24"/>
          <w:szCs w:val="24"/>
          <w14:ligatures w14:val="none"/>
        </w:rPr>
        <w:t xml:space="preserve"> Supply Shocks: Sudden worldwide or industry-wide drop in supply</w:t>
      </w:r>
      <w:r w:rsidR="00907E69" w:rsidRPr="007538A9">
        <w:rPr>
          <w:rFonts w:ascii="Arial" w:eastAsia="Times New Roman" w:hAnsi="Arial" w:cs="Arial"/>
          <w:kern w:val="0"/>
          <w:sz w:val="24"/>
          <w:szCs w:val="24"/>
          <w14:ligatures w14:val="none"/>
        </w:rPr>
        <w:t>.</w:t>
      </w:r>
    </w:p>
    <w:p w14:paraId="12F61ACA" w14:textId="77777777" w:rsidR="0011523B" w:rsidRPr="0011523B" w:rsidRDefault="00785DD4" w:rsidP="00B0451A">
      <w:pPr>
        <w:pStyle w:val="ListParagraph"/>
        <w:numPr>
          <w:ilvl w:val="0"/>
          <w:numId w:val="20"/>
        </w:numPr>
        <w:spacing w:before="100" w:beforeAutospacing="1" w:after="100" w:afterAutospacing="1" w:line="480" w:lineRule="auto"/>
        <w:jc w:val="both"/>
        <w:rPr>
          <w:rFonts w:ascii="Arial" w:hAnsi="Arial" w:cs="Arial"/>
          <w:i/>
          <w:iCs/>
          <w:sz w:val="24"/>
          <w:szCs w:val="24"/>
        </w:rPr>
      </w:pPr>
      <w:r w:rsidRPr="00B0451A">
        <w:rPr>
          <w:rFonts w:ascii="Arial" w:hAnsi="Arial" w:cs="Arial"/>
          <w:sz w:val="24"/>
          <w:szCs w:val="24"/>
        </w:rPr>
        <w:lastRenderedPageBreak/>
        <w:t>The calculation is done using the formula:</w:t>
      </w:r>
      <w:r w:rsidR="001C37C2" w:rsidRPr="00B0451A">
        <w:rPr>
          <w:rFonts w:ascii="Arial" w:hAnsi="Arial" w:cs="Arial"/>
          <w:sz w:val="24"/>
          <w:szCs w:val="24"/>
        </w:rPr>
        <w:t xml:space="preserve"> </w:t>
      </w:r>
      <w:r w:rsidRPr="00B0451A">
        <w:rPr>
          <w:rFonts w:ascii="Arial" w:hAnsi="Arial" w:cs="Arial"/>
          <w:sz w:val="24"/>
          <w:szCs w:val="24"/>
        </w:rPr>
        <w:t xml:space="preserve"> </w:t>
      </w:r>
    </w:p>
    <w:p w14:paraId="1851A4CE" w14:textId="55615B3D" w:rsidR="006C4B04" w:rsidRPr="0011523B" w:rsidRDefault="00785DD4" w:rsidP="0011523B">
      <w:pPr>
        <w:spacing w:before="100" w:beforeAutospacing="1" w:after="100" w:afterAutospacing="1" w:line="480" w:lineRule="auto"/>
        <w:ind w:left="360"/>
        <w:jc w:val="both"/>
        <w:rPr>
          <w:rFonts w:ascii="Arial" w:hAnsi="Arial" w:cs="Arial"/>
          <w:b/>
          <w:bCs/>
          <w:sz w:val="24"/>
          <w:szCs w:val="24"/>
        </w:rPr>
      </w:pPr>
      <w:r w:rsidRPr="0011523B">
        <w:rPr>
          <w:rFonts w:ascii="Arial" w:hAnsi="Arial" w:cs="Arial"/>
          <w:b/>
          <w:bCs/>
          <w:sz w:val="24"/>
          <w:szCs w:val="24"/>
        </w:rPr>
        <w:t>Expected Monetary Value (EMV) = Probability * Impact</w:t>
      </w:r>
      <w:r w:rsidR="0046423A" w:rsidRPr="0011523B">
        <w:rPr>
          <w:rFonts w:ascii="Arial" w:hAnsi="Arial" w:cs="Arial"/>
          <w:b/>
          <w:bCs/>
          <w:sz w:val="24"/>
          <w:szCs w:val="24"/>
        </w:rPr>
        <w:t xml:space="preserve"> </w:t>
      </w:r>
      <w:sdt>
        <w:sdtPr>
          <w:id w:val="601605575"/>
          <w:citation/>
        </w:sdtPr>
        <w:sdtContent>
          <w:r w:rsidR="0046423A" w:rsidRPr="00403484">
            <w:rPr>
              <w:rFonts w:ascii="Arial" w:hAnsi="Arial" w:cs="Arial"/>
              <w:sz w:val="24"/>
              <w:szCs w:val="24"/>
            </w:rPr>
            <w:fldChar w:fldCharType="begin"/>
          </w:r>
          <w:r w:rsidR="0046423A" w:rsidRPr="00403484">
            <w:rPr>
              <w:rFonts w:ascii="Arial" w:hAnsi="Arial" w:cs="Arial"/>
              <w:sz w:val="24"/>
              <w:szCs w:val="24"/>
            </w:rPr>
            <w:instrText xml:space="preserve"> CITATION Wag19 \l 1033 </w:instrText>
          </w:r>
          <w:r w:rsidR="0046423A" w:rsidRPr="00403484">
            <w:rPr>
              <w:rFonts w:ascii="Arial" w:hAnsi="Arial" w:cs="Arial"/>
              <w:sz w:val="24"/>
              <w:szCs w:val="24"/>
            </w:rPr>
            <w:fldChar w:fldCharType="separate"/>
          </w:r>
          <w:r w:rsidR="001F7CFE" w:rsidRPr="00403484">
            <w:rPr>
              <w:rFonts w:ascii="Arial" w:hAnsi="Arial" w:cs="Arial"/>
              <w:noProof/>
              <w:sz w:val="24"/>
              <w:szCs w:val="24"/>
            </w:rPr>
            <w:t>(Wagner &amp; Shiraji , 2019)</w:t>
          </w:r>
          <w:r w:rsidR="0046423A" w:rsidRPr="00403484">
            <w:rPr>
              <w:rFonts w:ascii="Arial" w:hAnsi="Arial" w:cs="Arial"/>
              <w:sz w:val="24"/>
              <w:szCs w:val="24"/>
            </w:rPr>
            <w:fldChar w:fldCharType="end"/>
          </w:r>
        </w:sdtContent>
      </w:sdt>
    </w:p>
    <w:p w14:paraId="580B9EB7" w14:textId="45C144D4" w:rsidR="00785DD4" w:rsidRPr="007538A9" w:rsidRDefault="001C37C2" w:rsidP="00F71614">
      <w:pPr>
        <w:pStyle w:val="NormalWeb"/>
        <w:spacing w:line="480" w:lineRule="auto"/>
        <w:jc w:val="both"/>
        <w:rPr>
          <w:rFonts w:ascii="Arial" w:hAnsi="Arial" w:cs="Arial"/>
        </w:rPr>
      </w:pPr>
      <w:r w:rsidRPr="007538A9">
        <w:rPr>
          <w:rFonts w:ascii="Arial" w:hAnsi="Arial" w:cs="Arial"/>
        </w:rPr>
        <w:t xml:space="preserve"> </w:t>
      </w:r>
      <w:r w:rsidR="000452AF" w:rsidRPr="007538A9">
        <w:rPr>
          <w:rFonts w:ascii="Arial" w:hAnsi="Arial" w:cs="Arial"/>
        </w:rPr>
        <w:t>Where:</w:t>
      </w:r>
    </w:p>
    <w:p w14:paraId="177E1DEC" w14:textId="77777777" w:rsidR="00A10CB3" w:rsidRPr="007538A9" w:rsidRDefault="00785DD4" w:rsidP="00F71614">
      <w:pPr>
        <w:spacing w:before="100" w:beforeAutospacing="1" w:after="100" w:afterAutospacing="1" w:line="480" w:lineRule="auto"/>
        <w:jc w:val="both"/>
        <w:outlineLvl w:val="3"/>
        <w:rPr>
          <w:rFonts w:ascii="Arial" w:eastAsia="Times New Roman" w:hAnsi="Arial" w:cs="Arial"/>
          <w:b/>
          <w:bCs/>
          <w:kern w:val="0"/>
          <w:sz w:val="24"/>
          <w:szCs w:val="24"/>
          <w14:ligatures w14:val="none"/>
        </w:rPr>
      </w:pPr>
      <w:r w:rsidRPr="007538A9">
        <w:rPr>
          <w:rFonts w:ascii="Arial" w:eastAsia="Times New Roman" w:hAnsi="Arial" w:cs="Arial"/>
          <w:b/>
          <w:bCs/>
          <w:kern w:val="0"/>
          <w:sz w:val="24"/>
          <w:szCs w:val="24"/>
          <w14:ligatures w14:val="none"/>
        </w:rPr>
        <w:t>Impact</w:t>
      </w:r>
      <w:r w:rsidR="001C37C2" w:rsidRPr="007538A9">
        <w:rPr>
          <w:rFonts w:ascii="Arial" w:eastAsia="Times New Roman" w:hAnsi="Arial" w:cs="Arial"/>
          <w:b/>
          <w:bCs/>
          <w:kern w:val="0"/>
          <w:sz w:val="24"/>
          <w:szCs w:val="24"/>
          <w14:ligatures w14:val="none"/>
        </w:rPr>
        <w:t xml:space="preserve">: </w:t>
      </w:r>
      <w:r w:rsidR="001C37C2" w:rsidRPr="007538A9">
        <w:rPr>
          <w:rFonts w:ascii="Arial" w:eastAsia="Times New Roman" w:hAnsi="Arial" w:cs="Arial"/>
          <w:kern w:val="0"/>
          <w:sz w:val="24"/>
          <w:szCs w:val="24"/>
          <w14:ligatures w14:val="none"/>
        </w:rPr>
        <w:t>t</w:t>
      </w:r>
      <w:r w:rsidRPr="007538A9">
        <w:rPr>
          <w:rFonts w:ascii="Arial" w:eastAsia="Times New Roman" w:hAnsi="Arial" w:cs="Arial"/>
          <w:kern w:val="0"/>
          <w:sz w:val="24"/>
          <w:szCs w:val="24"/>
          <w14:ligatures w14:val="none"/>
        </w:rPr>
        <w:t>he impact is the amount you will spend if a given identified risk occurs.</w:t>
      </w:r>
    </w:p>
    <w:p w14:paraId="4ECF6EAC" w14:textId="53BF6A64" w:rsidR="00A10CB3" w:rsidRPr="007538A9" w:rsidRDefault="00A10CB3" w:rsidP="00F71614">
      <w:pPr>
        <w:spacing w:before="100" w:beforeAutospacing="1" w:after="100" w:afterAutospacing="1" w:line="480" w:lineRule="auto"/>
        <w:jc w:val="both"/>
        <w:outlineLvl w:val="3"/>
        <w:rPr>
          <w:rFonts w:ascii="Arial" w:eastAsia="Times New Roman" w:hAnsi="Arial" w:cs="Arial"/>
          <w:kern w:val="0"/>
          <w:sz w:val="24"/>
          <w:szCs w:val="24"/>
          <w14:ligatures w14:val="none"/>
        </w:rPr>
      </w:pPr>
      <w:r w:rsidRPr="007538A9">
        <w:rPr>
          <w:rFonts w:ascii="Arial" w:eastAsia="Times New Roman" w:hAnsi="Arial" w:cs="Arial"/>
          <w:b/>
          <w:bCs/>
          <w:kern w:val="0"/>
          <w:sz w:val="24"/>
          <w:szCs w:val="24"/>
          <w14:ligatures w14:val="none"/>
        </w:rPr>
        <w:t>Probability</w:t>
      </w:r>
      <w:r w:rsidRPr="007538A9">
        <w:rPr>
          <w:rFonts w:ascii="Arial" w:eastAsia="Times New Roman" w:hAnsi="Arial" w:cs="Arial"/>
          <w:kern w:val="0"/>
          <w:sz w:val="24"/>
          <w:szCs w:val="24"/>
          <w14:ligatures w14:val="none"/>
        </w:rPr>
        <w:t>: probability is the likelihood that any event will occur.</w:t>
      </w:r>
    </w:p>
    <w:p w14:paraId="6AE02D64" w14:textId="5C4E9C4F" w:rsidR="00785DD4" w:rsidRPr="007538A9" w:rsidRDefault="00785DD4" w:rsidP="00F71614">
      <w:pPr>
        <w:spacing w:before="100" w:beforeAutospacing="1" w:after="100" w:afterAutospacing="1" w:line="480" w:lineRule="auto"/>
        <w:jc w:val="both"/>
        <w:outlineLvl w:val="3"/>
        <w:rPr>
          <w:rFonts w:ascii="Arial" w:eastAsia="Times New Roman" w:hAnsi="Arial" w:cs="Arial"/>
          <w:b/>
          <w:bCs/>
          <w:kern w:val="0"/>
          <w:sz w:val="24"/>
          <w:szCs w:val="24"/>
          <w14:ligatures w14:val="none"/>
        </w:rPr>
      </w:pPr>
      <w:r w:rsidRPr="007538A9">
        <w:rPr>
          <w:rFonts w:ascii="Arial" w:eastAsia="Times New Roman" w:hAnsi="Arial" w:cs="Arial"/>
          <w:kern w:val="0"/>
          <w:sz w:val="24"/>
          <w:szCs w:val="24"/>
          <w14:ligatures w14:val="none"/>
        </w:rPr>
        <w:t xml:space="preserve">The following table </w:t>
      </w:r>
      <w:r w:rsidR="001C37C2" w:rsidRPr="007538A9">
        <w:rPr>
          <w:rFonts w:ascii="Arial" w:eastAsia="Times New Roman" w:hAnsi="Arial" w:cs="Arial"/>
          <w:kern w:val="0"/>
          <w:sz w:val="24"/>
          <w:szCs w:val="24"/>
          <w14:ligatures w14:val="none"/>
        </w:rPr>
        <w:t>performs</w:t>
      </w:r>
      <w:r w:rsidRPr="007538A9">
        <w:rPr>
          <w:rFonts w:ascii="Arial" w:eastAsia="Times New Roman" w:hAnsi="Arial" w:cs="Arial"/>
          <w:kern w:val="0"/>
          <w:sz w:val="24"/>
          <w:szCs w:val="24"/>
          <w14:ligatures w14:val="none"/>
        </w:rPr>
        <w:t xml:space="preserve"> the calculation needed using data from similar supply chain risk</w:t>
      </w:r>
      <w:r w:rsidR="001C37C2" w:rsidRPr="007538A9">
        <w:rPr>
          <w:rFonts w:ascii="Arial" w:eastAsia="Times New Roman" w:hAnsi="Arial" w:cs="Arial"/>
          <w:kern w:val="0"/>
          <w:sz w:val="24"/>
          <w:szCs w:val="24"/>
          <w14:ligatures w14:val="none"/>
        </w:rPr>
        <w:t>.</w:t>
      </w:r>
    </w:p>
    <w:tbl>
      <w:tblPr>
        <w:tblStyle w:val="TableGrid"/>
        <w:tblW w:w="0" w:type="auto"/>
        <w:tblLook w:val="04A0" w:firstRow="1" w:lastRow="0" w:firstColumn="1" w:lastColumn="0" w:noHBand="0" w:noVBand="1"/>
      </w:tblPr>
      <w:tblGrid>
        <w:gridCol w:w="674"/>
        <w:gridCol w:w="4462"/>
        <w:gridCol w:w="1547"/>
        <w:gridCol w:w="1369"/>
        <w:gridCol w:w="1342"/>
      </w:tblGrid>
      <w:tr w:rsidR="00785DD4" w:rsidRPr="007538A9" w14:paraId="0EE44380" w14:textId="77777777" w:rsidTr="00F71614">
        <w:tc>
          <w:tcPr>
            <w:tcW w:w="704" w:type="dxa"/>
            <w:shd w:val="clear" w:color="auto" w:fill="B4C6E7" w:themeFill="accent1" w:themeFillTint="66"/>
          </w:tcPr>
          <w:p w14:paraId="441A28DB" w14:textId="4BBFFE7F" w:rsidR="00785DD4" w:rsidRPr="00F71614" w:rsidRDefault="00785DD4"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Id</w:t>
            </w:r>
          </w:p>
        </w:tc>
        <w:tc>
          <w:tcPr>
            <w:tcW w:w="4820" w:type="dxa"/>
            <w:shd w:val="clear" w:color="auto" w:fill="B4C6E7" w:themeFill="accent1" w:themeFillTint="66"/>
          </w:tcPr>
          <w:p w14:paraId="3A9E411C" w14:textId="7F65B3AA" w:rsidR="00785DD4" w:rsidRPr="00F71614" w:rsidRDefault="00785DD4"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Risk</w:t>
            </w:r>
          </w:p>
        </w:tc>
        <w:tc>
          <w:tcPr>
            <w:tcW w:w="1559" w:type="dxa"/>
            <w:shd w:val="clear" w:color="auto" w:fill="B4C6E7" w:themeFill="accent1" w:themeFillTint="66"/>
          </w:tcPr>
          <w:p w14:paraId="6434AA0F" w14:textId="68A74061" w:rsidR="00785DD4" w:rsidRPr="00F71614" w:rsidRDefault="00785DD4"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Probability</w:t>
            </w:r>
          </w:p>
        </w:tc>
        <w:tc>
          <w:tcPr>
            <w:tcW w:w="1417" w:type="dxa"/>
            <w:shd w:val="clear" w:color="auto" w:fill="B4C6E7" w:themeFill="accent1" w:themeFillTint="66"/>
          </w:tcPr>
          <w:p w14:paraId="536CE7F3" w14:textId="2396F082" w:rsidR="00785DD4" w:rsidRPr="00F71614" w:rsidRDefault="00785DD4"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Impact</w:t>
            </w:r>
            <w:r w:rsidR="001C37C2" w:rsidRPr="00F71614">
              <w:rPr>
                <w:rFonts w:ascii="Arial" w:eastAsia="Times New Roman" w:hAnsi="Arial" w:cs="Arial"/>
                <w:b/>
                <w:bCs/>
                <w:kern w:val="0"/>
                <w:sz w:val="24"/>
                <w:szCs w:val="24"/>
                <w14:ligatures w14:val="none"/>
              </w:rPr>
              <w:t xml:space="preserve"> ($)</w:t>
            </w:r>
          </w:p>
        </w:tc>
        <w:tc>
          <w:tcPr>
            <w:tcW w:w="1418" w:type="dxa"/>
            <w:shd w:val="clear" w:color="auto" w:fill="B4C6E7" w:themeFill="accent1" w:themeFillTint="66"/>
          </w:tcPr>
          <w:p w14:paraId="140B41B4" w14:textId="4DAAEB7F" w:rsidR="00785DD4" w:rsidRPr="00F71614" w:rsidRDefault="00785DD4"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EVM</w:t>
            </w:r>
            <w:r w:rsidR="001C37C2" w:rsidRPr="00F71614">
              <w:rPr>
                <w:rFonts w:ascii="Arial" w:eastAsia="Times New Roman" w:hAnsi="Arial" w:cs="Arial"/>
                <w:b/>
                <w:bCs/>
                <w:kern w:val="0"/>
                <w:sz w:val="24"/>
                <w:szCs w:val="24"/>
                <w14:ligatures w14:val="none"/>
              </w:rPr>
              <w:t xml:space="preserve"> ($)</w:t>
            </w:r>
          </w:p>
        </w:tc>
      </w:tr>
      <w:tr w:rsidR="001C37C2" w:rsidRPr="007538A9" w14:paraId="0694D1CD" w14:textId="77777777" w:rsidTr="00F71614">
        <w:tc>
          <w:tcPr>
            <w:tcW w:w="704" w:type="dxa"/>
          </w:tcPr>
          <w:p w14:paraId="65FE4650" w14:textId="3A062C13"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1</w:t>
            </w:r>
          </w:p>
        </w:tc>
        <w:tc>
          <w:tcPr>
            <w:tcW w:w="4820" w:type="dxa"/>
          </w:tcPr>
          <w:p w14:paraId="66DC4978" w14:textId="19D5B69D"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Disruptions of internal operations</w:t>
            </w:r>
          </w:p>
        </w:tc>
        <w:tc>
          <w:tcPr>
            <w:tcW w:w="1559" w:type="dxa"/>
          </w:tcPr>
          <w:p w14:paraId="2BFB7BB4" w14:textId="2A4C9D04"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35%</w:t>
            </w:r>
          </w:p>
        </w:tc>
        <w:tc>
          <w:tcPr>
            <w:tcW w:w="1417" w:type="dxa"/>
          </w:tcPr>
          <w:p w14:paraId="69C56C93" w14:textId="7095806B"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5000</w:t>
            </w:r>
          </w:p>
        </w:tc>
        <w:tc>
          <w:tcPr>
            <w:tcW w:w="1418" w:type="dxa"/>
            <w:vAlign w:val="bottom"/>
          </w:tcPr>
          <w:p w14:paraId="55E3287B" w14:textId="32EFC584"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1750</w:t>
            </w:r>
          </w:p>
        </w:tc>
      </w:tr>
      <w:tr w:rsidR="001C37C2" w:rsidRPr="007538A9" w14:paraId="03C707F6" w14:textId="77777777" w:rsidTr="00F71614">
        <w:tc>
          <w:tcPr>
            <w:tcW w:w="704" w:type="dxa"/>
          </w:tcPr>
          <w:p w14:paraId="16415428" w14:textId="4471F8D1"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2</w:t>
            </w:r>
          </w:p>
        </w:tc>
        <w:tc>
          <w:tcPr>
            <w:tcW w:w="4820" w:type="dxa"/>
          </w:tcPr>
          <w:p w14:paraId="63463C39" w14:textId="5E4692D6"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Price Increases</w:t>
            </w:r>
          </w:p>
        </w:tc>
        <w:tc>
          <w:tcPr>
            <w:tcW w:w="1559" w:type="dxa"/>
          </w:tcPr>
          <w:p w14:paraId="188151AB" w14:textId="56146A64"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25%</w:t>
            </w:r>
          </w:p>
        </w:tc>
        <w:tc>
          <w:tcPr>
            <w:tcW w:w="1417" w:type="dxa"/>
          </w:tcPr>
          <w:p w14:paraId="3426C35F" w14:textId="1F4A6D8C"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10000</w:t>
            </w:r>
          </w:p>
        </w:tc>
        <w:tc>
          <w:tcPr>
            <w:tcW w:w="1418" w:type="dxa"/>
            <w:vAlign w:val="bottom"/>
          </w:tcPr>
          <w:p w14:paraId="4E21DA78" w14:textId="33791C3D"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2500</w:t>
            </w:r>
          </w:p>
        </w:tc>
      </w:tr>
      <w:tr w:rsidR="001C37C2" w:rsidRPr="007538A9" w14:paraId="5CCF9D0E" w14:textId="77777777" w:rsidTr="00F71614">
        <w:tc>
          <w:tcPr>
            <w:tcW w:w="704" w:type="dxa"/>
          </w:tcPr>
          <w:p w14:paraId="05891E18" w14:textId="1988B84D"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3</w:t>
            </w:r>
          </w:p>
        </w:tc>
        <w:tc>
          <w:tcPr>
            <w:tcW w:w="4820" w:type="dxa"/>
          </w:tcPr>
          <w:p w14:paraId="78543B42" w14:textId="547BF548"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Shortages</w:t>
            </w:r>
          </w:p>
        </w:tc>
        <w:tc>
          <w:tcPr>
            <w:tcW w:w="1559" w:type="dxa"/>
          </w:tcPr>
          <w:p w14:paraId="52724A30" w14:textId="5CCC84F3"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20%</w:t>
            </w:r>
          </w:p>
        </w:tc>
        <w:tc>
          <w:tcPr>
            <w:tcW w:w="1417" w:type="dxa"/>
          </w:tcPr>
          <w:p w14:paraId="0594ECFB" w14:textId="0C61E081"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3000</w:t>
            </w:r>
          </w:p>
        </w:tc>
        <w:tc>
          <w:tcPr>
            <w:tcW w:w="1418" w:type="dxa"/>
            <w:vAlign w:val="bottom"/>
          </w:tcPr>
          <w:p w14:paraId="3D540EFC" w14:textId="483D2E58"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600</w:t>
            </w:r>
          </w:p>
        </w:tc>
      </w:tr>
      <w:tr w:rsidR="001C37C2" w:rsidRPr="007538A9" w14:paraId="2AB022AB" w14:textId="77777777" w:rsidTr="00F71614">
        <w:tc>
          <w:tcPr>
            <w:tcW w:w="704" w:type="dxa"/>
          </w:tcPr>
          <w:p w14:paraId="23C9152E" w14:textId="2D132EB3"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4</w:t>
            </w:r>
          </w:p>
        </w:tc>
        <w:tc>
          <w:tcPr>
            <w:tcW w:w="4820" w:type="dxa"/>
          </w:tcPr>
          <w:p w14:paraId="743E392F" w14:textId="327DA752"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Supplier Relationships</w:t>
            </w:r>
          </w:p>
        </w:tc>
        <w:tc>
          <w:tcPr>
            <w:tcW w:w="1559" w:type="dxa"/>
          </w:tcPr>
          <w:p w14:paraId="1224B81D" w14:textId="734F0155"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5%</w:t>
            </w:r>
          </w:p>
        </w:tc>
        <w:tc>
          <w:tcPr>
            <w:tcW w:w="1417" w:type="dxa"/>
          </w:tcPr>
          <w:p w14:paraId="25B7E3B7" w14:textId="38F31FB4"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2000</w:t>
            </w:r>
          </w:p>
        </w:tc>
        <w:tc>
          <w:tcPr>
            <w:tcW w:w="1418" w:type="dxa"/>
            <w:vAlign w:val="bottom"/>
          </w:tcPr>
          <w:p w14:paraId="1AA79948" w14:textId="6E27CC2B"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100</w:t>
            </w:r>
          </w:p>
        </w:tc>
      </w:tr>
      <w:tr w:rsidR="001C37C2" w:rsidRPr="007538A9" w14:paraId="0FADFAFE" w14:textId="77777777" w:rsidTr="00F71614">
        <w:tc>
          <w:tcPr>
            <w:tcW w:w="704" w:type="dxa"/>
          </w:tcPr>
          <w:p w14:paraId="422EC6D9" w14:textId="53F362DE"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5</w:t>
            </w:r>
          </w:p>
        </w:tc>
        <w:tc>
          <w:tcPr>
            <w:tcW w:w="4820" w:type="dxa"/>
          </w:tcPr>
          <w:p w14:paraId="178F4CAD" w14:textId="78985D6C"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Quality failure</w:t>
            </w:r>
          </w:p>
        </w:tc>
        <w:tc>
          <w:tcPr>
            <w:tcW w:w="1559" w:type="dxa"/>
          </w:tcPr>
          <w:p w14:paraId="6F7D3427" w14:textId="1B3C4E05"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15%</w:t>
            </w:r>
          </w:p>
        </w:tc>
        <w:tc>
          <w:tcPr>
            <w:tcW w:w="1417" w:type="dxa"/>
          </w:tcPr>
          <w:p w14:paraId="3146BBEC" w14:textId="2B22C5ED"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5000</w:t>
            </w:r>
          </w:p>
        </w:tc>
        <w:tc>
          <w:tcPr>
            <w:tcW w:w="1418" w:type="dxa"/>
            <w:vAlign w:val="bottom"/>
          </w:tcPr>
          <w:p w14:paraId="01A41B0A" w14:textId="07D08489"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750</w:t>
            </w:r>
          </w:p>
        </w:tc>
      </w:tr>
      <w:tr w:rsidR="001C37C2" w:rsidRPr="007538A9" w14:paraId="01FAC623" w14:textId="77777777" w:rsidTr="00F71614">
        <w:tc>
          <w:tcPr>
            <w:tcW w:w="704" w:type="dxa"/>
          </w:tcPr>
          <w:p w14:paraId="2082AA22" w14:textId="042599F1"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6</w:t>
            </w:r>
          </w:p>
        </w:tc>
        <w:tc>
          <w:tcPr>
            <w:tcW w:w="4820" w:type="dxa"/>
          </w:tcPr>
          <w:p w14:paraId="4FC5A0BF" w14:textId="175C2B9E"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Delivery Failures</w:t>
            </w:r>
          </w:p>
        </w:tc>
        <w:tc>
          <w:tcPr>
            <w:tcW w:w="1559" w:type="dxa"/>
          </w:tcPr>
          <w:p w14:paraId="6BB49F08" w14:textId="662EF5D1"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10%</w:t>
            </w:r>
          </w:p>
        </w:tc>
        <w:tc>
          <w:tcPr>
            <w:tcW w:w="1417" w:type="dxa"/>
          </w:tcPr>
          <w:p w14:paraId="0B45DDC3" w14:textId="17676F65"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4000</w:t>
            </w:r>
          </w:p>
        </w:tc>
        <w:tc>
          <w:tcPr>
            <w:tcW w:w="1418" w:type="dxa"/>
            <w:vAlign w:val="bottom"/>
          </w:tcPr>
          <w:p w14:paraId="12592C07" w14:textId="6579396F"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400</w:t>
            </w:r>
          </w:p>
        </w:tc>
      </w:tr>
      <w:tr w:rsidR="001C37C2" w:rsidRPr="007538A9" w14:paraId="4CB8C9CB" w14:textId="77777777" w:rsidTr="00F71614">
        <w:tc>
          <w:tcPr>
            <w:tcW w:w="704" w:type="dxa"/>
          </w:tcPr>
          <w:p w14:paraId="0C8FEC08" w14:textId="318F57F1" w:rsidR="001C37C2" w:rsidRPr="00F71614" w:rsidRDefault="001C37C2" w:rsidP="00E72B51">
            <w:pPr>
              <w:spacing w:before="100" w:beforeAutospacing="1" w:after="100" w:afterAutospacing="1" w:line="480" w:lineRule="auto"/>
              <w:jc w:val="center"/>
              <w:rPr>
                <w:rFonts w:ascii="Arial" w:eastAsia="Times New Roman" w:hAnsi="Arial" w:cs="Arial"/>
                <w:b/>
                <w:bCs/>
                <w:kern w:val="0"/>
                <w:sz w:val="24"/>
                <w:szCs w:val="24"/>
                <w14:ligatures w14:val="none"/>
              </w:rPr>
            </w:pPr>
            <w:r w:rsidRPr="00F71614">
              <w:rPr>
                <w:rFonts w:ascii="Arial" w:eastAsia="Times New Roman" w:hAnsi="Arial" w:cs="Arial"/>
                <w:b/>
                <w:bCs/>
                <w:kern w:val="0"/>
                <w:sz w:val="24"/>
                <w:szCs w:val="24"/>
                <w14:ligatures w14:val="none"/>
              </w:rPr>
              <w:t>7</w:t>
            </w:r>
          </w:p>
        </w:tc>
        <w:tc>
          <w:tcPr>
            <w:tcW w:w="4820" w:type="dxa"/>
          </w:tcPr>
          <w:p w14:paraId="085EB50C" w14:textId="5F5A5D46"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Supply Shocks</w:t>
            </w:r>
          </w:p>
        </w:tc>
        <w:tc>
          <w:tcPr>
            <w:tcW w:w="1559" w:type="dxa"/>
          </w:tcPr>
          <w:p w14:paraId="34543211" w14:textId="3EA10FF6"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8%</w:t>
            </w:r>
          </w:p>
        </w:tc>
        <w:tc>
          <w:tcPr>
            <w:tcW w:w="1417" w:type="dxa"/>
          </w:tcPr>
          <w:p w14:paraId="1D1180E9" w14:textId="7251A42A"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3000</w:t>
            </w:r>
          </w:p>
        </w:tc>
        <w:tc>
          <w:tcPr>
            <w:tcW w:w="1418" w:type="dxa"/>
            <w:vAlign w:val="bottom"/>
          </w:tcPr>
          <w:p w14:paraId="438B2936" w14:textId="769D43F8" w:rsidR="001C37C2" w:rsidRPr="007538A9" w:rsidRDefault="001C37C2" w:rsidP="00F71614">
            <w:p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hAnsi="Arial" w:cs="Arial"/>
                <w:color w:val="000000"/>
                <w:sz w:val="24"/>
                <w:szCs w:val="24"/>
              </w:rPr>
              <w:t>240</w:t>
            </w:r>
          </w:p>
        </w:tc>
      </w:tr>
    </w:tbl>
    <w:p w14:paraId="414107E5" w14:textId="124F8F2A" w:rsidR="00785DD4" w:rsidRDefault="00785DD4" w:rsidP="00BD00B3">
      <w:pPr>
        <w:pStyle w:val="NormalWeb"/>
        <w:spacing w:line="480" w:lineRule="auto"/>
        <w:jc w:val="both"/>
        <w:rPr>
          <w:rFonts w:ascii="Arial" w:hAnsi="Arial" w:cs="Arial"/>
        </w:rPr>
      </w:pPr>
    </w:p>
    <w:p w14:paraId="51719D77" w14:textId="77777777" w:rsidR="00BD00B3" w:rsidRDefault="00BD00B3" w:rsidP="00BD00B3">
      <w:pPr>
        <w:pStyle w:val="NormalWeb"/>
        <w:spacing w:line="480" w:lineRule="auto"/>
        <w:jc w:val="both"/>
        <w:rPr>
          <w:rFonts w:ascii="Arial" w:hAnsi="Arial" w:cs="Arial"/>
        </w:rPr>
      </w:pPr>
    </w:p>
    <w:p w14:paraId="3E3B9FC1" w14:textId="77777777" w:rsidR="00CB616A" w:rsidRPr="007538A9" w:rsidRDefault="00CB616A" w:rsidP="00BD00B3">
      <w:pPr>
        <w:pStyle w:val="NormalWeb"/>
        <w:spacing w:line="480" w:lineRule="auto"/>
        <w:jc w:val="both"/>
        <w:rPr>
          <w:rFonts w:ascii="Arial" w:hAnsi="Arial" w:cs="Arial"/>
        </w:rPr>
      </w:pPr>
    </w:p>
    <w:p w14:paraId="34568AAA" w14:textId="2C7CDC03" w:rsidR="00441326" w:rsidRPr="007538A9" w:rsidRDefault="001C37C2" w:rsidP="0035412A">
      <w:pPr>
        <w:pStyle w:val="ListParagraph"/>
        <w:numPr>
          <w:ilvl w:val="0"/>
          <w:numId w:val="1"/>
        </w:numPr>
        <w:spacing w:line="480" w:lineRule="auto"/>
        <w:ind w:left="426" w:hanging="426"/>
        <w:jc w:val="both"/>
        <w:rPr>
          <w:rFonts w:ascii="Arial" w:hAnsi="Arial" w:cs="Arial"/>
          <w:sz w:val="24"/>
          <w:szCs w:val="24"/>
        </w:rPr>
      </w:pPr>
      <w:r w:rsidRPr="007538A9">
        <w:rPr>
          <w:rFonts w:ascii="Arial" w:hAnsi="Arial" w:cs="Arial"/>
          <w:sz w:val="24"/>
          <w:szCs w:val="24"/>
        </w:rPr>
        <w:lastRenderedPageBreak/>
        <w:t xml:space="preserve">The quantitative risk analysis resulted in the the following list of risk as shown by the following </w:t>
      </w:r>
      <w:r w:rsidR="00F62C41" w:rsidRPr="007538A9">
        <w:rPr>
          <w:rFonts w:ascii="Arial" w:hAnsi="Arial" w:cs="Arial"/>
          <w:sz w:val="24"/>
          <w:szCs w:val="24"/>
        </w:rPr>
        <w:t>graph.</w:t>
      </w:r>
    </w:p>
    <w:p w14:paraId="6218959D" w14:textId="64308000" w:rsidR="001C37C2" w:rsidRPr="007538A9" w:rsidRDefault="001C37C2" w:rsidP="00F71614">
      <w:pPr>
        <w:pStyle w:val="ListParagraph"/>
        <w:spacing w:line="480" w:lineRule="auto"/>
        <w:jc w:val="both"/>
        <w:rPr>
          <w:rFonts w:ascii="Arial" w:hAnsi="Arial" w:cs="Arial"/>
          <w:sz w:val="24"/>
          <w:szCs w:val="24"/>
        </w:rPr>
      </w:pPr>
      <w:r w:rsidRPr="007538A9">
        <w:rPr>
          <w:rFonts w:ascii="Arial" w:hAnsi="Arial" w:cs="Arial"/>
          <w:noProof/>
          <w:sz w:val="24"/>
          <w:szCs w:val="24"/>
        </w:rPr>
        <w:drawing>
          <wp:inline distT="0" distB="0" distL="0" distR="0" wp14:anchorId="33AB6348" wp14:editId="6FCB5E38">
            <wp:extent cx="3818965" cy="2164977"/>
            <wp:effectExtent l="0" t="0" r="10160" b="6985"/>
            <wp:docPr id="607555866" name="Chart 607555866">
              <a:extLst xmlns:a="http://schemas.openxmlformats.org/drawingml/2006/main">
                <a:ext uri="{FF2B5EF4-FFF2-40B4-BE49-F238E27FC236}">
                  <a16:creationId xmlns:a16="http://schemas.microsoft.com/office/drawing/2014/main" id="{C775759F-4D46-5200-B6F9-6A9172D5B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840846" w14:textId="2EBCAA95" w:rsidR="00441326" w:rsidRPr="007538A9" w:rsidRDefault="001C37C2" w:rsidP="00F71614">
      <w:pPr>
        <w:spacing w:line="480" w:lineRule="auto"/>
        <w:jc w:val="both"/>
        <w:rPr>
          <w:rFonts w:ascii="Arial" w:hAnsi="Arial" w:cs="Arial"/>
          <w:sz w:val="24"/>
          <w:szCs w:val="24"/>
        </w:rPr>
      </w:pPr>
      <w:r w:rsidRPr="007538A9">
        <w:rPr>
          <w:rFonts w:ascii="Arial" w:hAnsi="Arial" w:cs="Arial"/>
          <w:sz w:val="24"/>
          <w:szCs w:val="24"/>
        </w:rPr>
        <w:t xml:space="preserve">Which </w:t>
      </w:r>
      <w:r w:rsidR="00F62C41" w:rsidRPr="007538A9">
        <w:rPr>
          <w:rFonts w:ascii="Arial" w:hAnsi="Arial" w:cs="Arial"/>
          <w:sz w:val="24"/>
          <w:szCs w:val="24"/>
        </w:rPr>
        <w:t>shows</w:t>
      </w:r>
      <w:r w:rsidRPr="007538A9">
        <w:rPr>
          <w:rFonts w:ascii="Arial" w:hAnsi="Arial" w:cs="Arial"/>
          <w:sz w:val="24"/>
          <w:szCs w:val="24"/>
        </w:rPr>
        <w:t xml:space="preserve"> that four risks were of EVM above 500$. These risks </w:t>
      </w:r>
      <w:r w:rsidR="00F62C41" w:rsidRPr="007538A9">
        <w:rPr>
          <w:rFonts w:ascii="Arial" w:hAnsi="Arial" w:cs="Arial"/>
          <w:sz w:val="24"/>
          <w:szCs w:val="24"/>
        </w:rPr>
        <w:t>need</w:t>
      </w:r>
      <w:r w:rsidRPr="007538A9">
        <w:rPr>
          <w:rFonts w:ascii="Arial" w:hAnsi="Arial" w:cs="Arial"/>
          <w:sz w:val="24"/>
          <w:szCs w:val="24"/>
        </w:rPr>
        <w:t xml:space="preserve"> immediate </w:t>
      </w:r>
      <w:r w:rsidR="00F62C41" w:rsidRPr="007538A9">
        <w:rPr>
          <w:rFonts w:ascii="Arial" w:hAnsi="Arial" w:cs="Arial"/>
          <w:sz w:val="24"/>
          <w:szCs w:val="24"/>
        </w:rPr>
        <w:t>mitigations</w:t>
      </w:r>
      <w:r w:rsidRPr="007538A9">
        <w:rPr>
          <w:rFonts w:ascii="Arial" w:hAnsi="Arial" w:cs="Arial"/>
          <w:sz w:val="24"/>
          <w:szCs w:val="24"/>
        </w:rPr>
        <w:t xml:space="preserve"> which are: </w:t>
      </w:r>
    </w:p>
    <w:p w14:paraId="60584351" w14:textId="77777777" w:rsidR="006C4B04" w:rsidRPr="007538A9" w:rsidRDefault="006C4B04" w:rsidP="00F71614">
      <w:pPr>
        <w:pStyle w:val="ListParagraph"/>
        <w:numPr>
          <w:ilvl w:val="0"/>
          <w:numId w:val="4"/>
        </w:numPr>
        <w:spacing w:line="480" w:lineRule="auto"/>
        <w:jc w:val="both"/>
        <w:rPr>
          <w:rFonts w:ascii="Arial" w:hAnsi="Arial" w:cs="Arial"/>
          <w:sz w:val="24"/>
          <w:szCs w:val="24"/>
        </w:rPr>
      </w:pPr>
      <w:r w:rsidRPr="007538A9">
        <w:rPr>
          <w:rFonts w:ascii="Arial" w:hAnsi="Arial" w:cs="Arial"/>
          <w:sz w:val="24"/>
          <w:szCs w:val="24"/>
        </w:rPr>
        <w:t>Disruptions of internal operations</w:t>
      </w:r>
    </w:p>
    <w:p w14:paraId="5E652719" w14:textId="351B534B" w:rsidR="006C4B04" w:rsidRPr="007538A9" w:rsidRDefault="006C4B04" w:rsidP="00F71614">
      <w:pPr>
        <w:pStyle w:val="ListParagraph"/>
        <w:numPr>
          <w:ilvl w:val="0"/>
          <w:numId w:val="4"/>
        </w:numPr>
        <w:spacing w:line="480" w:lineRule="auto"/>
        <w:jc w:val="both"/>
        <w:rPr>
          <w:rFonts w:ascii="Arial" w:hAnsi="Arial" w:cs="Arial"/>
          <w:sz w:val="24"/>
          <w:szCs w:val="24"/>
        </w:rPr>
      </w:pPr>
      <w:r w:rsidRPr="007538A9">
        <w:rPr>
          <w:rFonts w:ascii="Arial" w:hAnsi="Arial" w:cs="Arial"/>
          <w:sz w:val="24"/>
          <w:szCs w:val="24"/>
        </w:rPr>
        <w:t>Price Increases</w:t>
      </w:r>
    </w:p>
    <w:p w14:paraId="32B6EE4B" w14:textId="2EE0866B" w:rsidR="006C4B04" w:rsidRPr="007538A9" w:rsidRDefault="006C4B04" w:rsidP="00F71614">
      <w:pPr>
        <w:pStyle w:val="ListParagraph"/>
        <w:numPr>
          <w:ilvl w:val="0"/>
          <w:numId w:val="4"/>
        </w:numPr>
        <w:spacing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Shortages</w:t>
      </w:r>
    </w:p>
    <w:p w14:paraId="7D1E4411" w14:textId="77777777" w:rsidR="006C4B04" w:rsidRPr="007538A9" w:rsidRDefault="006C4B04" w:rsidP="00F71614">
      <w:pPr>
        <w:pStyle w:val="ListParagraph"/>
        <w:numPr>
          <w:ilvl w:val="0"/>
          <w:numId w:val="4"/>
        </w:numPr>
        <w:spacing w:before="100" w:beforeAutospacing="1" w:after="100" w:afterAutospacing="1" w:line="480" w:lineRule="auto"/>
        <w:jc w:val="both"/>
        <w:rPr>
          <w:rFonts w:ascii="Arial" w:eastAsia="Times New Roman" w:hAnsi="Arial" w:cs="Arial"/>
          <w:kern w:val="0"/>
          <w:sz w:val="24"/>
          <w:szCs w:val="24"/>
          <w14:ligatures w14:val="none"/>
        </w:rPr>
      </w:pPr>
      <w:r w:rsidRPr="007538A9">
        <w:rPr>
          <w:rFonts w:ascii="Arial" w:eastAsia="Times New Roman" w:hAnsi="Arial" w:cs="Arial"/>
          <w:kern w:val="0"/>
          <w:sz w:val="24"/>
          <w:szCs w:val="24"/>
          <w14:ligatures w14:val="none"/>
        </w:rPr>
        <w:t>Quality failure</w:t>
      </w:r>
    </w:p>
    <w:p w14:paraId="2C394A65" w14:textId="77777777" w:rsidR="00AD5EB2" w:rsidRDefault="00AD5EB2" w:rsidP="00F71614">
      <w:pPr>
        <w:spacing w:line="480" w:lineRule="auto"/>
        <w:jc w:val="both"/>
        <w:rPr>
          <w:rFonts w:ascii="Arial" w:hAnsi="Arial" w:cs="Arial"/>
          <w:color w:val="373A3C"/>
          <w:sz w:val="24"/>
          <w:szCs w:val="24"/>
          <w:shd w:val="clear" w:color="auto" w:fill="FFFFFF"/>
        </w:rPr>
      </w:pPr>
    </w:p>
    <w:p w14:paraId="11BA22D8" w14:textId="77777777" w:rsidR="000C3EFB" w:rsidRDefault="000C3EFB" w:rsidP="00F71614">
      <w:pPr>
        <w:spacing w:line="480" w:lineRule="auto"/>
        <w:jc w:val="both"/>
        <w:rPr>
          <w:rFonts w:ascii="Arial" w:hAnsi="Arial" w:cs="Arial"/>
          <w:color w:val="373A3C"/>
          <w:sz w:val="24"/>
          <w:szCs w:val="24"/>
          <w:shd w:val="clear" w:color="auto" w:fill="FFFFFF"/>
        </w:rPr>
      </w:pPr>
    </w:p>
    <w:p w14:paraId="607A2765" w14:textId="77777777" w:rsidR="000C3EFB" w:rsidRDefault="000C3EFB" w:rsidP="00F71614">
      <w:pPr>
        <w:spacing w:line="480" w:lineRule="auto"/>
        <w:jc w:val="both"/>
        <w:rPr>
          <w:rFonts w:ascii="Arial" w:hAnsi="Arial" w:cs="Arial"/>
          <w:color w:val="373A3C"/>
          <w:sz w:val="24"/>
          <w:szCs w:val="24"/>
          <w:shd w:val="clear" w:color="auto" w:fill="FFFFFF"/>
        </w:rPr>
      </w:pPr>
    </w:p>
    <w:p w14:paraId="23955C03" w14:textId="77777777" w:rsidR="000C3EFB" w:rsidRDefault="000C3EFB" w:rsidP="00F71614">
      <w:pPr>
        <w:spacing w:line="480" w:lineRule="auto"/>
        <w:jc w:val="both"/>
        <w:rPr>
          <w:rFonts w:ascii="Arial" w:hAnsi="Arial" w:cs="Arial"/>
          <w:color w:val="373A3C"/>
          <w:sz w:val="24"/>
          <w:szCs w:val="24"/>
          <w:shd w:val="clear" w:color="auto" w:fill="FFFFFF"/>
        </w:rPr>
      </w:pPr>
    </w:p>
    <w:p w14:paraId="3D4B4480" w14:textId="77777777" w:rsidR="000C3EFB" w:rsidRDefault="000C3EFB" w:rsidP="00F71614">
      <w:pPr>
        <w:spacing w:line="480" w:lineRule="auto"/>
        <w:jc w:val="both"/>
        <w:rPr>
          <w:rFonts w:ascii="Arial" w:hAnsi="Arial" w:cs="Arial"/>
          <w:color w:val="373A3C"/>
          <w:sz w:val="24"/>
          <w:szCs w:val="24"/>
          <w:shd w:val="clear" w:color="auto" w:fill="FFFFFF"/>
        </w:rPr>
      </w:pPr>
    </w:p>
    <w:p w14:paraId="252A9C6A" w14:textId="77777777" w:rsidR="000C3EFB" w:rsidRPr="007538A9" w:rsidRDefault="000C3EFB" w:rsidP="00F71614">
      <w:pPr>
        <w:spacing w:line="480" w:lineRule="auto"/>
        <w:jc w:val="both"/>
        <w:rPr>
          <w:rFonts w:ascii="Arial" w:hAnsi="Arial" w:cs="Arial"/>
          <w:color w:val="373A3C"/>
          <w:sz w:val="24"/>
          <w:szCs w:val="24"/>
          <w:shd w:val="clear" w:color="auto" w:fill="FFFFFF"/>
        </w:rPr>
      </w:pPr>
    </w:p>
    <w:p w14:paraId="2B9C6ADA" w14:textId="3DB6E343" w:rsidR="00AD5EB2" w:rsidRPr="00F71614" w:rsidRDefault="00AD5EB2" w:rsidP="00F71614">
      <w:pPr>
        <w:spacing w:line="480" w:lineRule="auto"/>
        <w:jc w:val="both"/>
        <w:rPr>
          <w:rFonts w:ascii="Arial" w:eastAsia="Verdana" w:hAnsi="Arial" w:cs="Arial"/>
          <w:b/>
          <w:bCs/>
          <w:color w:val="2F5496" w:themeColor="accent1" w:themeShade="BF"/>
          <w:kern w:val="0"/>
          <w:sz w:val="24"/>
          <w:szCs w:val="24"/>
          <w:lang w:val="en-GB"/>
          <w14:ligatures w14:val="none"/>
        </w:rPr>
      </w:pPr>
      <w:r w:rsidRPr="00F71614">
        <w:rPr>
          <w:rFonts w:ascii="Arial" w:eastAsia="Verdana" w:hAnsi="Arial" w:cs="Arial"/>
          <w:b/>
          <w:bCs/>
          <w:color w:val="2F5496" w:themeColor="accent1" w:themeShade="BF"/>
          <w:kern w:val="0"/>
          <w:sz w:val="24"/>
          <w:szCs w:val="24"/>
          <w:lang w:val="en-GB"/>
          <w14:ligatures w14:val="none"/>
        </w:rPr>
        <w:lastRenderedPageBreak/>
        <w:t xml:space="preserve">Summary of the results and recommendations </w:t>
      </w:r>
    </w:p>
    <w:p w14:paraId="05DA8A52" w14:textId="246EAEC5" w:rsidR="00AD5EB2" w:rsidRPr="007538A9" w:rsidRDefault="00AD5EB2" w:rsidP="00F71614">
      <w:pPr>
        <w:spacing w:line="480" w:lineRule="auto"/>
        <w:jc w:val="both"/>
        <w:rPr>
          <w:rFonts w:ascii="Arial" w:hAnsi="Arial" w:cs="Arial"/>
          <w:sz w:val="24"/>
          <w:szCs w:val="24"/>
        </w:rPr>
      </w:pPr>
      <w:r w:rsidRPr="007538A9">
        <w:rPr>
          <w:rFonts w:ascii="Arial" w:hAnsi="Arial" w:cs="Arial"/>
          <w:sz w:val="24"/>
          <w:szCs w:val="24"/>
        </w:rPr>
        <w:t xml:space="preserve">EMV can be used to estimate a loss or a gain due to an event. From </w:t>
      </w:r>
      <w:r w:rsidR="00F62C41" w:rsidRPr="007538A9">
        <w:rPr>
          <w:rFonts w:ascii="Arial" w:hAnsi="Arial" w:cs="Arial"/>
          <w:sz w:val="24"/>
          <w:szCs w:val="24"/>
        </w:rPr>
        <w:t>the above</w:t>
      </w:r>
      <w:r w:rsidRPr="007538A9">
        <w:rPr>
          <w:rFonts w:ascii="Arial" w:hAnsi="Arial" w:cs="Arial"/>
          <w:sz w:val="24"/>
          <w:szCs w:val="24"/>
        </w:rPr>
        <w:t xml:space="preserve"> analysis, EMV value from different risks can be seen, which shows the potential loss due to a certain risk if it occurs. Below are the details of the risks with the EMV of above 500$ and some recommendations.</w:t>
      </w:r>
    </w:p>
    <w:p w14:paraId="2BF93239" w14:textId="556D999B" w:rsidR="00AD5EB2" w:rsidRPr="007538A9" w:rsidRDefault="00AD5EB2" w:rsidP="000C3EFB">
      <w:pPr>
        <w:pStyle w:val="ListParagraph"/>
        <w:numPr>
          <w:ilvl w:val="0"/>
          <w:numId w:val="5"/>
        </w:numPr>
        <w:spacing w:line="480" w:lineRule="auto"/>
        <w:ind w:left="426" w:hanging="426"/>
        <w:jc w:val="both"/>
        <w:rPr>
          <w:rFonts w:ascii="Arial" w:hAnsi="Arial" w:cs="Arial"/>
          <w:sz w:val="24"/>
          <w:szCs w:val="24"/>
        </w:rPr>
      </w:pPr>
      <w:r w:rsidRPr="007538A9">
        <w:rPr>
          <w:rFonts w:ascii="Arial" w:hAnsi="Arial" w:cs="Arial"/>
          <w:sz w:val="24"/>
          <w:szCs w:val="24"/>
        </w:rPr>
        <w:t xml:space="preserve">Disruptions of internal operations: Disruption of internal operations has the highest probability (35 %) due to many </w:t>
      </w:r>
      <w:r w:rsidR="00F62C41" w:rsidRPr="007538A9">
        <w:rPr>
          <w:rFonts w:ascii="Arial" w:hAnsi="Arial" w:cs="Arial"/>
          <w:sz w:val="24"/>
          <w:szCs w:val="24"/>
        </w:rPr>
        <w:t>factors;</w:t>
      </w:r>
      <w:r w:rsidRPr="007538A9">
        <w:rPr>
          <w:rFonts w:ascii="Arial" w:hAnsi="Arial" w:cs="Arial"/>
          <w:sz w:val="24"/>
          <w:szCs w:val="24"/>
        </w:rPr>
        <w:t xml:space="preserve"> </w:t>
      </w:r>
      <w:r w:rsidR="00F62C41" w:rsidRPr="007538A9">
        <w:rPr>
          <w:rFonts w:ascii="Arial" w:hAnsi="Arial" w:cs="Arial"/>
          <w:sz w:val="24"/>
          <w:szCs w:val="24"/>
        </w:rPr>
        <w:t>it</w:t>
      </w:r>
      <w:r w:rsidRPr="007538A9">
        <w:rPr>
          <w:rFonts w:ascii="Arial" w:hAnsi="Arial" w:cs="Arial"/>
          <w:sz w:val="24"/>
          <w:szCs w:val="24"/>
        </w:rPr>
        <w:t xml:space="preserve"> can be caused by </w:t>
      </w:r>
      <w:r w:rsidR="00F62C41" w:rsidRPr="007538A9">
        <w:rPr>
          <w:rFonts w:ascii="Arial" w:hAnsi="Arial" w:cs="Arial"/>
          <w:sz w:val="24"/>
          <w:szCs w:val="24"/>
        </w:rPr>
        <w:t>several factors</w:t>
      </w:r>
      <w:r w:rsidRPr="007538A9">
        <w:rPr>
          <w:rFonts w:ascii="Arial" w:hAnsi="Arial" w:cs="Arial"/>
          <w:sz w:val="24"/>
          <w:szCs w:val="24"/>
        </w:rPr>
        <w:t xml:space="preserve"> including cyber-attacks, human errors, system failure or a natural disaster which can put </w:t>
      </w:r>
      <w:r w:rsidR="00F62C41" w:rsidRPr="007538A9">
        <w:rPr>
          <w:rFonts w:ascii="Arial" w:hAnsi="Arial" w:cs="Arial"/>
          <w:sz w:val="24"/>
          <w:szCs w:val="24"/>
        </w:rPr>
        <w:t>significant impact</w:t>
      </w:r>
      <w:r w:rsidRPr="007538A9">
        <w:rPr>
          <w:rFonts w:ascii="Arial" w:hAnsi="Arial" w:cs="Arial"/>
          <w:sz w:val="24"/>
          <w:szCs w:val="24"/>
        </w:rPr>
        <w:t xml:space="preserve"> of the quality loss of the business. This risk requires immediate mitigation </w:t>
      </w:r>
      <w:r w:rsidR="00F62C41" w:rsidRPr="007538A9">
        <w:rPr>
          <w:rFonts w:ascii="Arial" w:hAnsi="Arial" w:cs="Arial"/>
          <w:sz w:val="24"/>
          <w:szCs w:val="24"/>
        </w:rPr>
        <w:t>to</w:t>
      </w:r>
      <w:r w:rsidRPr="007538A9">
        <w:rPr>
          <w:rFonts w:ascii="Arial" w:hAnsi="Arial" w:cs="Arial"/>
          <w:sz w:val="24"/>
          <w:szCs w:val="24"/>
        </w:rPr>
        <w:t xml:space="preserve"> </w:t>
      </w:r>
      <w:r w:rsidR="00F62C41" w:rsidRPr="007538A9">
        <w:rPr>
          <w:rFonts w:ascii="Arial" w:hAnsi="Arial" w:cs="Arial"/>
          <w:sz w:val="24"/>
          <w:szCs w:val="24"/>
        </w:rPr>
        <w:t>cause</w:t>
      </w:r>
      <w:r w:rsidRPr="007538A9">
        <w:rPr>
          <w:rFonts w:ascii="Arial" w:hAnsi="Arial" w:cs="Arial"/>
          <w:sz w:val="24"/>
          <w:szCs w:val="24"/>
        </w:rPr>
        <w:t xml:space="preserve"> </w:t>
      </w:r>
      <w:r w:rsidR="00F62C41" w:rsidRPr="007538A9">
        <w:rPr>
          <w:rFonts w:ascii="Arial" w:hAnsi="Arial" w:cs="Arial"/>
          <w:sz w:val="24"/>
          <w:szCs w:val="24"/>
        </w:rPr>
        <w:t>further</w:t>
      </w:r>
      <w:r w:rsidRPr="007538A9">
        <w:rPr>
          <w:rFonts w:ascii="Arial" w:hAnsi="Arial" w:cs="Arial"/>
          <w:sz w:val="24"/>
          <w:szCs w:val="24"/>
        </w:rPr>
        <w:t xml:space="preserve"> loss in quality. There are </w:t>
      </w:r>
      <w:r w:rsidR="00F62C41" w:rsidRPr="007538A9">
        <w:rPr>
          <w:rFonts w:ascii="Arial" w:hAnsi="Arial" w:cs="Arial"/>
          <w:sz w:val="24"/>
          <w:szCs w:val="24"/>
        </w:rPr>
        <w:t>a few</w:t>
      </w:r>
      <w:r w:rsidRPr="007538A9">
        <w:rPr>
          <w:rFonts w:ascii="Arial" w:hAnsi="Arial" w:cs="Arial"/>
          <w:sz w:val="24"/>
          <w:szCs w:val="24"/>
        </w:rPr>
        <w:t xml:space="preserve"> steps that can help to overcome the loss from these risks. </w:t>
      </w:r>
      <w:r w:rsidRPr="007538A9">
        <w:rPr>
          <w:rFonts w:ascii="Arial" w:hAnsi="Arial" w:cs="Arial"/>
          <w:b/>
          <w:bCs/>
          <w:sz w:val="24"/>
          <w:szCs w:val="24"/>
        </w:rPr>
        <w:t>(N, Micheline &amp; C, Nigel., 2017)</w:t>
      </w:r>
    </w:p>
    <w:p w14:paraId="120884A9" w14:textId="77777777" w:rsidR="00AD5EB2" w:rsidRPr="007538A9" w:rsidRDefault="00AD5EB2" w:rsidP="003451AB">
      <w:pPr>
        <w:pStyle w:val="ListParagraph"/>
        <w:numPr>
          <w:ilvl w:val="0"/>
          <w:numId w:val="6"/>
        </w:numPr>
        <w:spacing w:line="480" w:lineRule="auto"/>
        <w:ind w:left="851" w:hanging="426"/>
        <w:jc w:val="both"/>
        <w:rPr>
          <w:rFonts w:ascii="Arial" w:hAnsi="Arial" w:cs="Arial"/>
          <w:sz w:val="24"/>
          <w:szCs w:val="24"/>
        </w:rPr>
      </w:pPr>
      <w:r w:rsidRPr="007538A9">
        <w:rPr>
          <w:rFonts w:ascii="Arial" w:hAnsi="Arial" w:cs="Arial"/>
          <w:sz w:val="24"/>
          <w:szCs w:val="24"/>
        </w:rPr>
        <w:t xml:space="preserve">Risk identification: It is crucial to identify the type of risk in the first step to reduce the impact. </w:t>
      </w:r>
    </w:p>
    <w:p w14:paraId="6BD5F39A" w14:textId="77777777" w:rsidR="00AD5EB2" w:rsidRPr="007538A9" w:rsidRDefault="00AD5EB2" w:rsidP="003451AB">
      <w:pPr>
        <w:pStyle w:val="ListParagraph"/>
        <w:numPr>
          <w:ilvl w:val="0"/>
          <w:numId w:val="6"/>
        </w:numPr>
        <w:spacing w:line="480" w:lineRule="auto"/>
        <w:ind w:left="851" w:hanging="426"/>
        <w:jc w:val="both"/>
        <w:rPr>
          <w:rFonts w:ascii="Arial" w:hAnsi="Arial" w:cs="Arial"/>
          <w:sz w:val="24"/>
          <w:szCs w:val="24"/>
        </w:rPr>
      </w:pPr>
      <w:r w:rsidRPr="007538A9">
        <w:rPr>
          <w:rFonts w:ascii="Arial" w:hAnsi="Arial" w:cs="Arial"/>
          <w:sz w:val="24"/>
          <w:szCs w:val="24"/>
        </w:rPr>
        <w:t xml:space="preserve">Risk assessment: After the identification of the risk, evaluate them based on occurrence (Probability) and harm. </w:t>
      </w:r>
    </w:p>
    <w:p w14:paraId="09EF3B3B" w14:textId="77777777" w:rsidR="00AD5EB2" w:rsidRPr="007538A9" w:rsidRDefault="00AD5EB2" w:rsidP="003451AB">
      <w:pPr>
        <w:pStyle w:val="ListParagraph"/>
        <w:numPr>
          <w:ilvl w:val="0"/>
          <w:numId w:val="6"/>
        </w:numPr>
        <w:spacing w:line="480" w:lineRule="auto"/>
        <w:ind w:left="851" w:hanging="426"/>
        <w:jc w:val="both"/>
        <w:rPr>
          <w:rFonts w:ascii="Arial" w:hAnsi="Arial" w:cs="Arial"/>
          <w:sz w:val="24"/>
          <w:szCs w:val="24"/>
        </w:rPr>
      </w:pPr>
      <w:r w:rsidRPr="007538A9">
        <w:rPr>
          <w:rFonts w:ascii="Arial" w:hAnsi="Arial" w:cs="Arial"/>
          <w:sz w:val="24"/>
          <w:szCs w:val="24"/>
        </w:rPr>
        <w:t>Risk measurement and mitigation: By transferring risk to a different organization such as insurance or cybersecurity companies.</w:t>
      </w:r>
    </w:p>
    <w:p w14:paraId="39C009A5" w14:textId="33733E27" w:rsidR="00AD5EB2" w:rsidRPr="007538A9" w:rsidRDefault="00AD5EB2" w:rsidP="003451AB">
      <w:pPr>
        <w:pStyle w:val="ListParagraph"/>
        <w:numPr>
          <w:ilvl w:val="0"/>
          <w:numId w:val="6"/>
        </w:numPr>
        <w:spacing w:line="480" w:lineRule="auto"/>
        <w:ind w:left="851" w:hanging="426"/>
        <w:jc w:val="both"/>
        <w:rPr>
          <w:rFonts w:ascii="Arial" w:hAnsi="Arial" w:cs="Arial"/>
          <w:sz w:val="24"/>
          <w:szCs w:val="24"/>
        </w:rPr>
      </w:pPr>
      <w:r w:rsidRPr="007538A9">
        <w:rPr>
          <w:rFonts w:ascii="Arial" w:hAnsi="Arial" w:cs="Arial"/>
          <w:sz w:val="24"/>
          <w:szCs w:val="24"/>
        </w:rPr>
        <w:t xml:space="preserve">Monitoring and Reporting: monitor the risks and check </w:t>
      </w:r>
      <w:r w:rsidR="00F62C41" w:rsidRPr="007538A9">
        <w:rPr>
          <w:rFonts w:ascii="Arial" w:hAnsi="Arial" w:cs="Arial"/>
          <w:sz w:val="24"/>
          <w:szCs w:val="24"/>
        </w:rPr>
        <w:t>whether</w:t>
      </w:r>
      <w:r w:rsidRPr="007538A9">
        <w:rPr>
          <w:rFonts w:ascii="Arial" w:hAnsi="Arial" w:cs="Arial"/>
          <w:sz w:val="24"/>
          <w:szCs w:val="24"/>
        </w:rPr>
        <w:t xml:space="preserve"> they are being controlled and report them on </w:t>
      </w:r>
      <w:r w:rsidR="00F62C41" w:rsidRPr="007538A9">
        <w:rPr>
          <w:rFonts w:ascii="Arial" w:hAnsi="Arial" w:cs="Arial"/>
          <w:sz w:val="24"/>
          <w:szCs w:val="24"/>
        </w:rPr>
        <w:t>a regular</w:t>
      </w:r>
      <w:r w:rsidRPr="007538A9">
        <w:rPr>
          <w:rFonts w:ascii="Arial" w:hAnsi="Arial" w:cs="Arial"/>
          <w:sz w:val="24"/>
          <w:szCs w:val="24"/>
        </w:rPr>
        <w:t xml:space="preserve"> basis.</w:t>
      </w:r>
    </w:p>
    <w:p w14:paraId="173ED629" w14:textId="77777777" w:rsidR="00AD5EB2" w:rsidRPr="007538A9" w:rsidRDefault="00AD5EB2" w:rsidP="000C3EFB">
      <w:pPr>
        <w:pStyle w:val="ListParagraph"/>
        <w:spacing w:line="480" w:lineRule="auto"/>
        <w:ind w:left="426" w:hanging="426"/>
        <w:jc w:val="both"/>
        <w:rPr>
          <w:rFonts w:ascii="Arial" w:hAnsi="Arial" w:cs="Arial"/>
          <w:sz w:val="24"/>
          <w:szCs w:val="24"/>
        </w:rPr>
      </w:pPr>
    </w:p>
    <w:p w14:paraId="60AAA6DA" w14:textId="18B947C8" w:rsidR="00AD5EB2" w:rsidRPr="007538A9" w:rsidRDefault="00AD5EB2" w:rsidP="000C3EFB">
      <w:pPr>
        <w:pStyle w:val="ListParagraph"/>
        <w:numPr>
          <w:ilvl w:val="0"/>
          <w:numId w:val="5"/>
        </w:numPr>
        <w:spacing w:line="480" w:lineRule="auto"/>
        <w:ind w:left="426" w:hanging="426"/>
        <w:jc w:val="both"/>
        <w:rPr>
          <w:rFonts w:ascii="Arial" w:hAnsi="Arial" w:cs="Arial"/>
          <w:sz w:val="24"/>
          <w:szCs w:val="24"/>
        </w:rPr>
      </w:pPr>
      <w:r w:rsidRPr="007538A9">
        <w:rPr>
          <w:rFonts w:ascii="Arial" w:hAnsi="Arial" w:cs="Arial"/>
          <w:sz w:val="24"/>
          <w:szCs w:val="24"/>
        </w:rPr>
        <w:t xml:space="preserve">Price Increases: Price increase (25% probability) depends on </w:t>
      </w:r>
      <w:r w:rsidR="00F62C41" w:rsidRPr="007538A9">
        <w:rPr>
          <w:rFonts w:ascii="Arial" w:hAnsi="Arial" w:cs="Arial"/>
          <w:sz w:val="24"/>
          <w:szCs w:val="24"/>
        </w:rPr>
        <w:t>multiple</w:t>
      </w:r>
      <w:r w:rsidRPr="007538A9">
        <w:rPr>
          <w:rFonts w:ascii="Arial" w:hAnsi="Arial" w:cs="Arial"/>
          <w:sz w:val="24"/>
          <w:szCs w:val="24"/>
        </w:rPr>
        <w:t xml:space="preserve"> factors including material supply, </w:t>
      </w:r>
      <w:r w:rsidR="007F54D2" w:rsidRPr="007538A9">
        <w:rPr>
          <w:rFonts w:ascii="Arial" w:hAnsi="Arial" w:cs="Arial"/>
          <w:sz w:val="24"/>
          <w:szCs w:val="24"/>
        </w:rPr>
        <w:t>demand,</w:t>
      </w:r>
      <w:r w:rsidRPr="007538A9">
        <w:rPr>
          <w:rFonts w:ascii="Arial" w:hAnsi="Arial" w:cs="Arial"/>
          <w:sz w:val="24"/>
          <w:szCs w:val="24"/>
        </w:rPr>
        <w:t xml:space="preserve"> and availability. On time decision can minimize the </w:t>
      </w:r>
      <w:r w:rsidRPr="007538A9">
        <w:rPr>
          <w:rFonts w:ascii="Arial" w:hAnsi="Arial" w:cs="Arial"/>
          <w:sz w:val="24"/>
          <w:szCs w:val="24"/>
        </w:rPr>
        <w:lastRenderedPageBreak/>
        <w:t xml:space="preserve">loss, it can be controlled by various strategies, including </w:t>
      </w:r>
      <w:r w:rsidRPr="007538A9">
        <w:rPr>
          <w:rFonts w:ascii="Arial" w:hAnsi="Arial" w:cs="Arial"/>
          <w:b/>
          <w:bCs/>
          <w:sz w:val="24"/>
          <w:szCs w:val="24"/>
        </w:rPr>
        <w:t>(S-B, Tanya &amp; C, Derek., 2015)</w:t>
      </w:r>
      <w:r w:rsidRPr="007538A9">
        <w:rPr>
          <w:rFonts w:ascii="Arial" w:hAnsi="Arial" w:cs="Arial"/>
          <w:sz w:val="24"/>
          <w:szCs w:val="24"/>
        </w:rPr>
        <w:t xml:space="preserve"> </w:t>
      </w:r>
    </w:p>
    <w:p w14:paraId="0DCFEFBC" w14:textId="77777777" w:rsidR="00AD5EB2" w:rsidRPr="007538A9" w:rsidRDefault="00AD5EB2" w:rsidP="000C3EFB">
      <w:pPr>
        <w:pStyle w:val="ListParagraph"/>
        <w:spacing w:line="480" w:lineRule="auto"/>
        <w:ind w:left="426" w:hanging="426"/>
        <w:jc w:val="both"/>
        <w:rPr>
          <w:rFonts w:ascii="Arial" w:hAnsi="Arial" w:cs="Arial"/>
          <w:sz w:val="24"/>
          <w:szCs w:val="24"/>
        </w:rPr>
      </w:pPr>
    </w:p>
    <w:p w14:paraId="7D2CC068" w14:textId="43122DE3" w:rsidR="00AD5EB2" w:rsidRPr="007538A9" w:rsidRDefault="00AD5EB2" w:rsidP="003451AB">
      <w:pPr>
        <w:pStyle w:val="ListParagraph"/>
        <w:numPr>
          <w:ilvl w:val="0"/>
          <w:numId w:val="7"/>
        </w:numPr>
        <w:spacing w:line="480" w:lineRule="auto"/>
        <w:ind w:left="1134" w:hanging="426"/>
        <w:jc w:val="both"/>
        <w:rPr>
          <w:rFonts w:ascii="Arial" w:hAnsi="Arial" w:cs="Arial"/>
          <w:sz w:val="24"/>
          <w:szCs w:val="24"/>
        </w:rPr>
      </w:pPr>
      <w:r w:rsidRPr="007538A9">
        <w:rPr>
          <w:rFonts w:ascii="Arial" w:hAnsi="Arial" w:cs="Arial"/>
          <w:sz w:val="24"/>
          <w:szCs w:val="24"/>
        </w:rPr>
        <w:t xml:space="preserve">Value based pricing: Putting prices on </w:t>
      </w:r>
      <w:r w:rsidR="00F62C41" w:rsidRPr="007538A9">
        <w:rPr>
          <w:rFonts w:ascii="Arial" w:hAnsi="Arial" w:cs="Arial"/>
          <w:sz w:val="24"/>
          <w:szCs w:val="24"/>
        </w:rPr>
        <w:t>goods</w:t>
      </w:r>
      <w:r w:rsidRPr="007538A9">
        <w:rPr>
          <w:rFonts w:ascii="Arial" w:hAnsi="Arial" w:cs="Arial"/>
          <w:sz w:val="24"/>
          <w:szCs w:val="24"/>
        </w:rPr>
        <w:t xml:space="preserve"> based on the customer demand and value in market.</w:t>
      </w:r>
    </w:p>
    <w:p w14:paraId="38DE5011" w14:textId="59C62BDB" w:rsidR="00AD5EB2" w:rsidRPr="007538A9" w:rsidRDefault="00AD5EB2" w:rsidP="00F71614">
      <w:pPr>
        <w:pStyle w:val="ListParagraph"/>
        <w:numPr>
          <w:ilvl w:val="0"/>
          <w:numId w:val="7"/>
        </w:numPr>
        <w:spacing w:line="480" w:lineRule="auto"/>
        <w:jc w:val="both"/>
        <w:rPr>
          <w:rFonts w:ascii="Arial" w:hAnsi="Arial" w:cs="Arial"/>
          <w:sz w:val="24"/>
          <w:szCs w:val="24"/>
        </w:rPr>
      </w:pPr>
      <w:r w:rsidRPr="007538A9">
        <w:rPr>
          <w:rFonts w:ascii="Arial" w:hAnsi="Arial" w:cs="Arial"/>
          <w:sz w:val="24"/>
          <w:szCs w:val="24"/>
        </w:rPr>
        <w:t xml:space="preserve">Penetrating price strategy: </w:t>
      </w:r>
      <w:r w:rsidR="00F62C41" w:rsidRPr="007538A9">
        <w:rPr>
          <w:rFonts w:ascii="Arial" w:hAnsi="Arial" w:cs="Arial"/>
          <w:sz w:val="24"/>
          <w:szCs w:val="24"/>
        </w:rPr>
        <w:t>the selling</w:t>
      </w:r>
      <w:r w:rsidRPr="007538A9">
        <w:rPr>
          <w:rFonts w:ascii="Arial" w:hAnsi="Arial" w:cs="Arial"/>
          <w:sz w:val="24"/>
          <w:szCs w:val="24"/>
        </w:rPr>
        <w:t xml:space="preserve"> price for goods at </w:t>
      </w:r>
      <w:r w:rsidR="00F62C41" w:rsidRPr="007538A9">
        <w:rPr>
          <w:rFonts w:ascii="Arial" w:hAnsi="Arial" w:cs="Arial"/>
          <w:sz w:val="24"/>
          <w:szCs w:val="24"/>
        </w:rPr>
        <w:t>the start</w:t>
      </w:r>
      <w:r w:rsidRPr="007538A9">
        <w:rPr>
          <w:rFonts w:ascii="Arial" w:hAnsi="Arial" w:cs="Arial"/>
          <w:sz w:val="24"/>
          <w:szCs w:val="24"/>
        </w:rPr>
        <w:t xml:space="preserve"> is lower than the market and increases with the passage of time by attracting more customers.</w:t>
      </w:r>
    </w:p>
    <w:p w14:paraId="43B26070" w14:textId="77777777" w:rsidR="00AD5EB2" w:rsidRPr="007538A9" w:rsidRDefault="00AD5EB2" w:rsidP="00F71614">
      <w:pPr>
        <w:pStyle w:val="ListParagraph"/>
        <w:numPr>
          <w:ilvl w:val="0"/>
          <w:numId w:val="7"/>
        </w:numPr>
        <w:spacing w:line="480" w:lineRule="auto"/>
        <w:jc w:val="both"/>
        <w:rPr>
          <w:rFonts w:ascii="Arial" w:hAnsi="Arial" w:cs="Arial"/>
          <w:sz w:val="24"/>
          <w:szCs w:val="24"/>
        </w:rPr>
      </w:pPr>
      <w:r w:rsidRPr="007538A9">
        <w:rPr>
          <w:rFonts w:ascii="Arial" w:hAnsi="Arial" w:cs="Arial"/>
          <w:sz w:val="24"/>
          <w:szCs w:val="24"/>
        </w:rPr>
        <w:t>Price skimming: setting high price for a new product and lowering the price with the passage of time as competition grows.</w:t>
      </w:r>
    </w:p>
    <w:p w14:paraId="2D2A6E5F" w14:textId="49874ECB" w:rsidR="00AD5EB2" w:rsidRPr="007538A9" w:rsidRDefault="00AD5EB2" w:rsidP="00F71614">
      <w:pPr>
        <w:pStyle w:val="ListParagraph"/>
        <w:numPr>
          <w:ilvl w:val="0"/>
          <w:numId w:val="5"/>
        </w:numPr>
        <w:spacing w:line="480" w:lineRule="auto"/>
        <w:jc w:val="both"/>
        <w:rPr>
          <w:rFonts w:ascii="Arial" w:hAnsi="Arial" w:cs="Arial"/>
          <w:sz w:val="24"/>
          <w:szCs w:val="24"/>
        </w:rPr>
      </w:pPr>
      <w:r w:rsidRPr="007538A9">
        <w:rPr>
          <w:rFonts w:ascii="Arial" w:hAnsi="Arial" w:cs="Arial"/>
          <w:sz w:val="24"/>
          <w:szCs w:val="24"/>
        </w:rPr>
        <w:t xml:space="preserve">Shortages: Shortages (20% probability) is referred to having a limited number of resources </w:t>
      </w:r>
      <w:r w:rsidR="00F62C41" w:rsidRPr="007538A9">
        <w:rPr>
          <w:rFonts w:ascii="Arial" w:hAnsi="Arial" w:cs="Arial"/>
          <w:sz w:val="24"/>
          <w:szCs w:val="24"/>
        </w:rPr>
        <w:t>including</w:t>
      </w:r>
      <w:r w:rsidRPr="007538A9">
        <w:rPr>
          <w:rFonts w:ascii="Arial" w:hAnsi="Arial" w:cs="Arial"/>
          <w:sz w:val="24"/>
          <w:szCs w:val="24"/>
        </w:rPr>
        <w:t xml:space="preserve"> </w:t>
      </w:r>
      <w:r w:rsidR="00F62C41" w:rsidRPr="007538A9">
        <w:rPr>
          <w:rFonts w:ascii="Arial" w:hAnsi="Arial" w:cs="Arial"/>
          <w:sz w:val="24"/>
          <w:szCs w:val="24"/>
        </w:rPr>
        <w:t>labor</w:t>
      </w:r>
      <w:r w:rsidRPr="007538A9">
        <w:rPr>
          <w:rFonts w:ascii="Arial" w:hAnsi="Arial" w:cs="Arial"/>
          <w:sz w:val="24"/>
          <w:szCs w:val="24"/>
        </w:rPr>
        <w:t xml:space="preserve">, material, </w:t>
      </w:r>
      <w:r w:rsidR="007F54D2" w:rsidRPr="007538A9">
        <w:rPr>
          <w:rFonts w:ascii="Arial" w:hAnsi="Arial" w:cs="Arial"/>
          <w:sz w:val="24"/>
          <w:szCs w:val="24"/>
        </w:rPr>
        <w:t>energy,</w:t>
      </w:r>
      <w:r w:rsidRPr="007538A9">
        <w:rPr>
          <w:rFonts w:ascii="Arial" w:hAnsi="Arial" w:cs="Arial"/>
          <w:sz w:val="24"/>
          <w:szCs w:val="24"/>
        </w:rPr>
        <w:t xml:space="preserve"> and capital </w:t>
      </w:r>
      <w:r w:rsidR="00F62C41" w:rsidRPr="007538A9">
        <w:rPr>
          <w:rFonts w:ascii="Arial" w:hAnsi="Arial" w:cs="Arial"/>
          <w:b/>
          <w:bCs/>
          <w:sz w:val="24"/>
          <w:szCs w:val="24"/>
        </w:rPr>
        <w:t>(D</w:t>
      </w:r>
      <w:r w:rsidRPr="007538A9">
        <w:rPr>
          <w:rFonts w:ascii="Arial" w:hAnsi="Arial" w:cs="Arial"/>
          <w:b/>
          <w:bCs/>
          <w:sz w:val="24"/>
          <w:szCs w:val="24"/>
        </w:rPr>
        <w:t>, Ivanov &amp; A, Dolgui., 2022</w:t>
      </w:r>
      <w:r w:rsidR="00F62C41" w:rsidRPr="007538A9">
        <w:rPr>
          <w:rFonts w:ascii="Arial" w:hAnsi="Arial" w:cs="Arial"/>
          <w:b/>
          <w:bCs/>
          <w:sz w:val="24"/>
          <w:szCs w:val="24"/>
        </w:rPr>
        <w:t>)</w:t>
      </w:r>
      <w:r w:rsidR="00F62C41" w:rsidRPr="007538A9">
        <w:rPr>
          <w:rFonts w:ascii="Arial" w:hAnsi="Arial" w:cs="Arial"/>
          <w:sz w:val="24"/>
          <w:szCs w:val="24"/>
        </w:rPr>
        <w:t>.</w:t>
      </w:r>
      <w:r w:rsidRPr="007538A9">
        <w:rPr>
          <w:rFonts w:ascii="Arial" w:hAnsi="Arial" w:cs="Arial"/>
          <w:sz w:val="24"/>
          <w:szCs w:val="24"/>
        </w:rPr>
        <w:t xml:space="preserve"> It is crucial to have knowledge about </w:t>
      </w:r>
      <w:r w:rsidR="007F54D2" w:rsidRPr="007538A9">
        <w:rPr>
          <w:rFonts w:ascii="Arial" w:hAnsi="Arial" w:cs="Arial"/>
          <w:sz w:val="24"/>
          <w:szCs w:val="24"/>
        </w:rPr>
        <w:t>what is</w:t>
      </w:r>
      <w:r w:rsidRPr="007538A9">
        <w:rPr>
          <w:rFonts w:ascii="Arial" w:hAnsi="Arial" w:cs="Arial"/>
          <w:sz w:val="24"/>
          <w:szCs w:val="24"/>
        </w:rPr>
        <w:t xml:space="preserve"> going on around the world and its impact on </w:t>
      </w:r>
      <w:r w:rsidR="007F54D2" w:rsidRPr="007538A9">
        <w:rPr>
          <w:rFonts w:ascii="Arial" w:hAnsi="Arial" w:cs="Arial"/>
          <w:sz w:val="24"/>
          <w:szCs w:val="24"/>
        </w:rPr>
        <w:t>businesses</w:t>
      </w:r>
      <w:r w:rsidRPr="007538A9">
        <w:rPr>
          <w:rFonts w:ascii="Arial" w:hAnsi="Arial" w:cs="Arial"/>
          <w:sz w:val="24"/>
          <w:szCs w:val="24"/>
        </w:rPr>
        <w:t>. There are few recommendations to mitigate this risk and its loss:</w:t>
      </w:r>
    </w:p>
    <w:p w14:paraId="4FD90981" w14:textId="07B8A956" w:rsidR="00AD5EB2" w:rsidRPr="007538A9" w:rsidRDefault="00AD5EB2" w:rsidP="00F71614">
      <w:pPr>
        <w:pStyle w:val="ListParagraph"/>
        <w:numPr>
          <w:ilvl w:val="0"/>
          <w:numId w:val="8"/>
        </w:numPr>
        <w:spacing w:line="480" w:lineRule="auto"/>
        <w:jc w:val="both"/>
        <w:rPr>
          <w:rFonts w:ascii="Arial" w:hAnsi="Arial" w:cs="Arial"/>
          <w:sz w:val="24"/>
          <w:szCs w:val="24"/>
        </w:rPr>
      </w:pPr>
      <w:r w:rsidRPr="007538A9">
        <w:rPr>
          <w:rFonts w:ascii="Arial" w:hAnsi="Arial" w:cs="Arial"/>
          <w:sz w:val="24"/>
          <w:szCs w:val="24"/>
        </w:rPr>
        <w:t xml:space="preserve">Supplier data analysis: it is important to </w:t>
      </w:r>
      <w:r w:rsidR="00F62C41" w:rsidRPr="007538A9">
        <w:rPr>
          <w:rFonts w:ascii="Arial" w:hAnsi="Arial" w:cs="Arial"/>
          <w:sz w:val="24"/>
          <w:szCs w:val="24"/>
        </w:rPr>
        <w:t>know</w:t>
      </w:r>
      <w:r w:rsidRPr="007538A9">
        <w:rPr>
          <w:rFonts w:ascii="Arial" w:hAnsi="Arial" w:cs="Arial"/>
          <w:sz w:val="24"/>
          <w:szCs w:val="24"/>
        </w:rPr>
        <w:t xml:space="preserve"> what is happening at the supplier’s end such as their management, </w:t>
      </w:r>
      <w:r w:rsidR="00BF6E74" w:rsidRPr="007538A9">
        <w:rPr>
          <w:rFonts w:ascii="Arial" w:hAnsi="Arial" w:cs="Arial"/>
          <w:sz w:val="24"/>
          <w:szCs w:val="24"/>
        </w:rPr>
        <w:t>performance,</w:t>
      </w:r>
      <w:r w:rsidRPr="007538A9">
        <w:rPr>
          <w:rFonts w:ascii="Arial" w:hAnsi="Arial" w:cs="Arial"/>
          <w:sz w:val="24"/>
          <w:szCs w:val="24"/>
        </w:rPr>
        <w:t xml:space="preserve"> and relationship management with other businesses as it can interrupt the supply chain.</w:t>
      </w:r>
    </w:p>
    <w:p w14:paraId="544E6F48" w14:textId="77777777" w:rsidR="00AD5EB2" w:rsidRPr="007538A9" w:rsidRDefault="00AD5EB2" w:rsidP="00F71614">
      <w:pPr>
        <w:pStyle w:val="ListParagraph"/>
        <w:numPr>
          <w:ilvl w:val="0"/>
          <w:numId w:val="8"/>
        </w:numPr>
        <w:spacing w:line="480" w:lineRule="auto"/>
        <w:jc w:val="both"/>
        <w:rPr>
          <w:rFonts w:ascii="Arial" w:hAnsi="Arial" w:cs="Arial"/>
          <w:sz w:val="24"/>
          <w:szCs w:val="24"/>
        </w:rPr>
      </w:pPr>
      <w:r w:rsidRPr="007538A9">
        <w:rPr>
          <w:rFonts w:ascii="Arial" w:hAnsi="Arial" w:cs="Arial"/>
          <w:sz w:val="24"/>
          <w:szCs w:val="24"/>
        </w:rPr>
        <w:t xml:space="preserve">Links with different suppliers: It is important to not rely on only one supplier because if something wrong goes on their side, it can affect the full supply chain. Having links/relations with multiple suppliers is important. </w:t>
      </w:r>
    </w:p>
    <w:p w14:paraId="600FF9B1" w14:textId="205B02EC" w:rsidR="00AD5EB2" w:rsidRPr="007538A9" w:rsidRDefault="00AD5EB2" w:rsidP="00FE3F84">
      <w:pPr>
        <w:pStyle w:val="ListParagraph"/>
        <w:numPr>
          <w:ilvl w:val="0"/>
          <w:numId w:val="5"/>
        </w:numPr>
        <w:spacing w:line="480" w:lineRule="auto"/>
        <w:ind w:left="567" w:hanging="567"/>
        <w:jc w:val="both"/>
        <w:rPr>
          <w:rFonts w:ascii="Arial" w:hAnsi="Arial" w:cs="Arial"/>
          <w:sz w:val="24"/>
          <w:szCs w:val="24"/>
        </w:rPr>
      </w:pPr>
      <w:r w:rsidRPr="007538A9">
        <w:rPr>
          <w:rFonts w:ascii="Arial" w:hAnsi="Arial" w:cs="Arial"/>
          <w:sz w:val="24"/>
          <w:szCs w:val="24"/>
        </w:rPr>
        <w:t xml:space="preserve">Quality failure: Quality </w:t>
      </w:r>
      <w:r w:rsidR="00F62C41" w:rsidRPr="007538A9">
        <w:rPr>
          <w:rFonts w:ascii="Arial" w:hAnsi="Arial" w:cs="Arial"/>
          <w:sz w:val="24"/>
          <w:szCs w:val="24"/>
        </w:rPr>
        <w:t>failure (</w:t>
      </w:r>
      <w:r w:rsidRPr="007538A9">
        <w:rPr>
          <w:rFonts w:ascii="Arial" w:hAnsi="Arial" w:cs="Arial"/>
          <w:sz w:val="24"/>
          <w:szCs w:val="24"/>
        </w:rPr>
        <w:t xml:space="preserve">15% probability) refers to not meeting the required specifications for a certain product. It can be either not fulfilling the consumer’s requirements or exceeding the requirements. Quality control is a core factor in any </w:t>
      </w:r>
      <w:r w:rsidRPr="007538A9">
        <w:rPr>
          <w:rFonts w:ascii="Arial" w:hAnsi="Arial" w:cs="Arial"/>
          <w:sz w:val="24"/>
          <w:szCs w:val="24"/>
        </w:rPr>
        <w:lastRenderedPageBreak/>
        <w:t xml:space="preserve">business because </w:t>
      </w:r>
      <w:r w:rsidR="00F62C41" w:rsidRPr="007538A9">
        <w:rPr>
          <w:rFonts w:ascii="Arial" w:hAnsi="Arial" w:cs="Arial"/>
          <w:sz w:val="24"/>
          <w:szCs w:val="24"/>
        </w:rPr>
        <w:t>the consumer</w:t>
      </w:r>
      <w:r w:rsidRPr="007538A9">
        <w:rPr>
          <w:rFonts w:ascii="Arial" w:hAnsi="Arial" w:cs="Arial"/>
          <w:sz w:val="24"/>
          <w:szCs w:val="24"/>
        </w:rPr>
        <w:t xml:space="preserve"> only wants that product to </w:t>
      </w:r>
      <w:r w:rsidR="00F62C41" w:rsidRPr="007538A9">
        <w:rPr>
          <w:rFonts w:ascii="Arial" w:hAnsi="Arial" w:cs="Arial"/>
          <w:sz w:val="24"/>
          <w:szCs w:val="24"/>
        </w:rPr>
        <w:t>be perfect</w:t>
      </w:r>
      <w:r w:rsidRPr="007538A9">
        <w:rPr>
          <w:rFonts w:ascii="Arial" w:hAnsi="Arial" w:cs="Arial"/>
          <w:sz w:val="24"/>
          <w:szCs w:val="24"/>
        </w:rPr>
        <w:t xml:space="preserve">. Below are some recommendations </w:t>
      </w:r>
      <w:r w:rsidRPr="007538A9">
        <w:rPr>
          <w:rFonts w:ascii="Arial" w:hAnsi="Arial" w:cs="Arial"/>
          <w:b/>
          <w:bCs/>
          <w:sz w:val="24"/>
          <w:szCs w:val="24"/>
        </w:rPr>
        <w:t>(A, Kumar. N, Suresh., 2008):</w:t>
      </w:r>
    </w:p>
    <w:p w14:paraId="5FEAE1A7" w14:textId="677C2931" w:rsidR="00AD5EB2" w:rsidRPr="007538A9" w:rsidRDefault="00AD5EB2" w:rsidP="00F71614">
      <w:pPr>
        <w:pStyle w:val="ListParagraph"/>
        <w:numPr>
          <w:ilvl w:val="0"/>
          <w:numId w:val="9"/>
        </w:numPr>
        <w:spacing w:line="480" w:lineRule="auto"/>
        <w:jc w:val="both"/>
        <w:rPr>
          <w:rFonts w:ascii="Arial" w:hAnsi="Arial" w:cs="Arial"/>
          <w:sz w:val="24"/>
          <w:szCs w:val="24"/>
        </w:rPr>
      </w:pPr>
      <w:r w:rsidRPr="007538A9">
        <w:rPr>
          <w:rFonts w:ascii="Arial" w:hAnsi="Arial" w:cs="Arial"/>
          <w:sz w:val="24"/>
          <w:szCs w:val="24"/>
        </w:rPr>
        <w:t xml:space="preserve">Standardised system: There are some standardised systems to be followed </w:t>
      </w:r>
      <w:r w:rsidR="007F54D2" w:rsidRPr="007538A9">
        <w:rPr>
          <w:rFonts w:ascii="Arial" w:hAnsi="Arial" w:cs="Arial"/>
          <w:sz w:val="24"/>
          <w:szCs w:val="24"/>
        </w:rPr>
        <w:t>to</w:t>
      </w:r>
      <w:r w:rsidRPr="007538A9">
        <w:rPr>
          <w:rFonts w:ascii="Arial" w:hAnsi="Arial" w:cs="Arial"/>
          <w:sz w:val="24"/>
          <w:szCs w:val="24"/>
        </w:rPr>
        <w:t xml:space="preserve"> maintain the quality and minimize </w:t>
      </w:r>
      <w:r w:rsidR="00F62C41" w:rsidRPr="007538A9">
        <w:rPr>
          <w:rFonts w:ascii="Arial" w:hAnsi="Arial" w:cs="Arial"/>
          <w:sz w:val="24"/>
          <w:szCs w:val="24"/>
        </w:rPr>
        <w:t>quality</w:t>
      </w:r>
      <w:r w:rsidRPr="007538A9">
        <w:rPr>
          <w:rFonts w:ascii="Arial" w:hAnsi="Arial" w:cs="Arial"/>
          <w:sz w:val="24"/>
          <w:szCs w:val="24"/>
        </w:rPr>
        <w:t xml:space="preserve"> </w:t>
      </w:r>
      <w:r w:rsidR="00F62C41" w:rsidRPr="007538A9">
        <w:rPr>
          <w:rFonts w:ascii="Arial" w:hAnsi="Arial" w:cs="Arial"/>
          <w:sz w:val="24"/>
          <w:szCs w:val="24"/>
        </w:rPr>
        <w:t>failure,</w:t>
      </w:r>
      <w:r w:rsidRPr="007538A9">
        <w:rPr>
          <w:rFonts w:ascii="Arial" w:hAnsi="Arial" w:cs="Arial"/>
          <w:sz w:val="24"/>
          <w:szCs w:val="24"/>
        </w:rPr>
        <w:t xml:space="preserve"> for example ISO certifications (Such as ISO 9000). Some businesses are required to have ISO compliance.</w:t>
      </w:r>
    </w:p>
    <w:p w14:paraId="50DFA227" w14:textId="77777777" w:rsidR="00AD5EB2" w:rsidRPr="007538A9" w:rsidRDefault="00AD5EB2" w:rsidP="00F71614">
      <w:pPr>
        <w:pStyle w:val="ListParagraph"/>
        <w:numPr>
          <w:ilvl w:val="0"/>
          <w:numId w:val="9"/>
        </w:numPr>
        <w:spacing w:line="480" w:lineRule="auto"/>
        <w:jc w:val="both"/>
        <w:rPr>
          <w:rFonts w:ascii="Arial" w:hAnsi="Arial" w:cs="Arial"/>
          <w:sz w:val="24"/>
          <w:szCs w:val="24"/>
        </w:rPr>
      </w:pPr>
      <w:r w:rsidRPr="007538A9">
        <w:rPr>
          <w:rFonts w:ascii="Arial" w:hAnsi="Arial" w:cs="Arial"/>
          <w:sz w:val="24"/>
          <w:szCs w:val="24"/>
        </w:rPr>
        <w:t xml:space="preserve">Total quality management: Total quality management puts efforts to ensure customer loyalty by making on demand products. It highly focuses on quality control to fulfil consumer’s requirement. </w:t>
      </w:r>
    </w:p>
    <w:p w14:paraId="2E5C8DE2" w14:textId="28C793BF" w:rsidR="00AD5EB2" w:rsidRPr="007538A9" w:rsidRDefault="00AD5EB2" w:rsidP="00F71614">
      <w:pPr>
        <w:pStyle w:val="ListParagraph"/>
        <w:numPr>
          <w:ilvl w:val="0"/>
          <w:numId w:val="9"/>
        </w:numPr>
        <w:spacing w:line="480" w:lineRule="auto"/>
        <w:jc w:val="both"/>
        <w:rPr>
          <w:rFonts w:ascii="Arial" w:hAnsi="Arial" w:cs="Arial"/>
          <w:sz w:val="24"/>
          <w:szCs w:val="24"/>
        </w:rPr>
      </w:pPr>
      <w:r w:rsidRPr="007538A9">
        <w:rPr>
          <w:rFonts w:ascii="Arial" w:hAnsi="Arial" w:cs="Arial"/>
          <w:sz w:val="24"/>
          <w:szCs w:val="24"/>
        </w:rPr>
        <w:t xml:space="preserve">Continuous quality improvement: CQI focuses on continuous improvement </w:t>
      </w:r>
      <w:r w:rsidR="00F62C41" w:rsidRPr="007538A9">
        <w:rPr>
          <w:rFonts w:ascii="Arial" w:hAnsi="Arial" w:cs="Arial"/>
          <w:sz w:val="24"/>
          <w:szCs w:val="24"/>
        </w:rPr>
        <w:t>in</w:t>
      </w:r>
      <w:r w:rsidRPr="007538A9">
        <w:rPr>
          <w:rFonts w:ascii="Arial" w:hAnsi="Arial" w:cs="Arial"/>
          <w:sz w:val="24"/>
          <w:szCs w:val="24"/>
        </w:rPr>
        <w:t xml:space="preserve"> quality. The Plan-Do-check-Act (PDCA) is one of the most popular CQI </w:t>
      </w:r>
      <w:r w:rsidR="00F62C41" w:rsidRPr="007538A9">
        <w:rPr>
          <w:rFonts w:ascii="Arial" w:hAnsi="Arial" w:cs="Arial"/>
          <w:sz w:val="24"/>
          <w:szCs w:val="24"/>
        </w:rPr>
        <w:t>models</w:t>
      </w:r>
      <w:r w:rsidRPr="007538A9">
        <w:rPr>
          <w:rFonts w:ascii="Arial" w:hAnsi="Arial" w:cs="Arial"/>
          <w:sz w:val="24"/>
          <w:szCs w:val="24"/>
        </w:rPr>
        <w:t xml:space="preserve">. </w:t>
      </w:r>
    </w:p>
    <w:p w14:paraId="788D0421" w14:textId="77777777" w:rsidR="00F94263" w:rsidRPr="007538A9" w:rsidRDefault="00AD5EB2" w:rsidP="00FE3F84">
      <w:pPr>
        <w:spacing w:line="480" w:lineRule="auto"/>
        <w:ind w:left="567" w:hanging="567"/>
        <w:jc w:val="both"/>
        <w:rPr>
          <w:rFonts w:ascii="Arial" w:hAnsi="Arial" w:cs="Arial"/>
          <w:sz w:val="24"/>
          <w:szCs w:val="24"/>
        </w:rPr>
      </w:pPr>
      <w:r w:rsidRPr="007538A9">
        <w:rPr>
          <w:rFonts w:ascii="Arial" w:hAnsi="Arial" w:cs="Arial"/>
          <w:sz w:val="24"/>
          <w:szCs w:val="24"/>
        </w:rPr>
        <w:t>All quality management systems have key elements including quality policy, quality objectives, customer satisfaction and data management.</w:t>
      </w:r>
    </w:p>
    <w:p w14:paraId="5BF22E6C" w14:textId="77777777" w:rsidR="00F94263" w:rsidRDefault="00F94263" w:rsidP="00F71614">
      <w:pPr>
        <w:spacing w:line="480" w:lineRule="auto"/>
        <w:jc w:val="both"/>
        <w:rPr>
          <w:rFonts w:ascii="Arial" w:hAnsi="Arial" w:cs="Arial"/>
          <w:sz w:val="24"/>
          <w:szCs w:val="24"/>
        </w:rPr>
      </w:pPr>
    </w:p>
    <w:p w14:paraId="1AF606F3" w14:textId="77777777" w:rsidR="006C2E3B" w:rsidRDefault="006C2E3B" w:rsidP="00F71614">
      <w:pPr>
        <w:spacing w:line="480" w:lineRule="auto"/>
        <w:jc w:val="both"/>
        <w:rPr>
          <w:rFonts w:ascii="Arial" w:hAnsi="Arial" w:cs="Arial"/>
          <w:sz w:val="24"/>
          <w:szCs w:val="24"/>
        </w:rPr>
      </w:pPr>
    </w:p>
    <w:p w14:paraId="11F88DF9" w14:textId="77777777" w:rsidR="006C2E3B" w:rsidRDefault="006C2E3B" w:rsidP="00F71614">
      <w:pPr>
        <w:spacing w:line="480" w:lineRule="auto"/>
        <w:jc w:val="both"/>
        <w:rPr>
          <w:rFonts w:ascii="Arial" w:hAnsi="Arial" w:cs="Arial"/>
          <w:sz w:val="24"/>
          <w:szCs w:val="24"/>
        </w:rPr>
      </w:pPr>
    </w:p>
    <w:p w14:paraId="38A2E7C6" w14:textId="77777777" w:rsidR="006C2E3B" w:rsidRDefault="006C2E3B" w:rsidP="00F71614">
      <w:pPr>
        <w:spacing w:line="480" w:lineRule="auto"/>
        <w:jc w:val="both"/>
        <w:rPr>
          <w:rFonts w:ascii="Arial" w:hAnsi="Arial" w:cs="Arial"/>
          <w:sz w:val="24"/>
          <w:szCs w:val="24"/>
        </w:rPr>
      </w:pPr>
    </w:p>
    <w:p w14:paraId="5B5D6ED0" w14:textId="77777777" w:rsidR="006C2E3B" w:rsidRDefault="006C2E3B" w:rsidP="00F71614">
      <w:pPr>
        <w:spacing w:line="480" w:lineRule="auto"/>
        <w:jc w:val="both"/>
        <w:rPr>
          <w:rFonts w:ascii="Arial" w:hAnsi="Arial" w:cs="Arial"/>
          <w:sz w:val="24"/>
          <w:szCs w:val="24"/>
        </w:rPr>
      </w:pPr>
    </w:p>
    <w:p w14:paraId="4A9A7967" w14:textId="77777777" w:rsidR="006C2E3B" w:rsidRDefault="006C2E3B" w:rsidP="00F71614">
      <w:pPr>
        <w:spacing w:line="480" w:lineRule="auto"/>
        <w:jc w:val="both"/>
        <w:rPr>
          <w:rFonts w:ascii="Arial" w:hAnsi="Arial" w:cs="Arial"/>
          <w:sz w:val="24"/>
          <w:szCs w:val="24"/>
        </w:rPr>
      </w:pPr>
    </w:p>
    <w:p w14:paraId="0B390E04" w14:textId="77777777" w:rsidR="006C2E3B" w:rsidRDefault="006C2E3B" w:rsidP="00F71614">
      <w:pPr>
        <w:spacing w:line="480" w:lineRule="auto"/>
        <w:jc w:val="both"/>
        <w:rPr>
          <w:rFonts w:ascii="Arial" w:hAnsi="Arial" w:cs="Arial"/>
          <w:sz w:val="24"/>
          <w:szCs w:val="24"/>
        </w:rPr>
      </w:pPr>
    </w:p>
    <w:p w14:paraId="4AD38619" w14:textId="77777777" w:rsidR="006C2E3B" w:rsidRDefault="006C2E3B" w:rsidP="00F71614">
      <w:pPr>
        <w:spacing w:line="480" w:lineRule="auto"/>
        <w:jc w:val="both"/>
        <w:rPr>
          <w:rFonts w:ascii="Arial" w:hAnsi="Arial" w:cs="Arial"/>
          <w:sz w:val="24"/>
          <w:szCs w:val="24"/>
        </w:rPr>
      </w:pPr>
    </w:p>
    <w:p w14:paraId="48E0F364" w14:textId="77777777" w:rsidR="006C2E3B" w:rsidRPr="007538A9" w:rsidRDefault="006C2E3B" w:rsidP="00F71614">
      <w:pPr>
        <w:spacing w:line="480" w:lineRule="auto"/>
        <w:jc w:val="both"/>
        <w:rPr>
          <w:rFonts w:ascii="Arial" w:hAnsi="Arial" w:cs="Arial"/>
          <w:sz w:val="24"/>
          <w:szCs w:val="24"/>
        </w:rPr>
      </w:pPr>
    </w:p>
    <w:p w14:paraId="2FBBD72B" w14:textId="45337A82" w:rsidR="00AD5EB2" w:rsidRPr="00F71614" w:rsidRDefault="00F94263" w:rsidP="00F71614">
      <w:pPr>
        <w:spacing w:line="480" w:lineRule="auto"/>
        <w:jc w:val="both"/>
        <w:rPr>
          <w:rFonts w:ascii="Arial" w:eastAsia="Verdana" w:hAnsi="Arial" w:cs="Arial"/>
          <w:b/>
          <w:bCs/>
          <w:color w:val="2F5496" w:themeColor="accent1" w:themeShade="BF"/>
          <w:kern w:val="0"/>
          <w:sz w:val="24"/>
          <w:szCs w:val="24"/>
          <w:lang w:val="en-GB"/>
          <w14:ligatures w14:val="none"/>
        </w:rPr>
      </w:pPr>
      <w:r w:rsidRPr="00F71614">
        <w:rPr>
          <w:rFonts w:ascii="Arial" w:eastAsia="Verdana" w:hAnsi="Arial" w:cs="Arial"/>
          <w:b/>
          <w:bCs/>
          <w:color w:val="2F5496" w:themeColor="accent1" w:themeShade="BF"/>
          <w:kern w:val="0"/>
          <w:sz w:val="24"/>
          <w:szCs w:val="24"/>
          <w:lang w:val="en-GB"/>
          <w14:ligatures w14:val="none"/>
        </w:rPr>
        <w:lastRenderedPageBreak/>
        <w:t>Business continuity/ disaster recovery (DR) strategy</w:t>
      </w:r>
    </w:p>
    <w:p w14:paraId="52CA9848" w14:textId="132502BB" w:rsidR="00610AB1" w:rsidRPr="007538A9" w:rsidRDefault="00E7622E" w:rsidP="00F71614">
      <w:pPr>
        <w:spacing w:line="480" w:lineRule="auto"/>
        <w:jc w:val="both"/>
        <w:rPr>
          <w:rFonts w:ascii="Arial" w:hAnsi="Arial" w:cs="Arial"/>
          <w:sz w:val="24"/>
          <w:szCs w:val="24"/>
        </w:rPr>
      </w:pPr>
      <w:r w:rsidRPr="007538A9">
        <w:rPr>
          <w:rFonts w:ascii="Arial" w:hAnsi="Arial" w:cs="Arial"/>
          <w:sz w:val="24"/>
          <w:szCs w:val="24"/>
        </w:rPr>
        <w:t>Business continuity and disaster recovery (BCDR) is a collection of procedures and tools that enables a business to recover from a disaster and continue regular business operations. Data recovery, reducing the impact of an interruption on business operations, and fast recovery to normality following a disaster are the three main objectives of BCDR planning</w:t>
      </w:r>
      <w:r w:rsidR="00FB72C8" w:rsidRPr="007538A9">
        <w:rPr>
          <w:rFonts w:ascii="Arial" w:hAnsi="Arial" w:cs="Arial"/>
          <w:sz w:val="24"/>
          <w:szCs w:val="24"/>
        </w:rPr>
        <w:t xml:space="preserve"> (Marget, 2023)</w:t>
      </w:r>
      <w:r w:rsidRPr="007538A9">
        <w:rPr>
          <w:rFonts w:ascii="Arial" w:hAnsi="Arial" w:cs="Arial"/>
          <w:sz w:val="24"/>
          <w:szCs w:val="24"/>
        </w:rPr>
        <w:t>.</w:t>
      </w:r>
    </w:p>
    <w:p w14:paraId="54F0F9C8" w14:textId="75B94A20" w:rsidR="00DA1FE4" w:rsidRPr="007538A9" w:rsidRDefault="00AC3743" w:rsidP="00F71614">
      <w:pPr>
        <w:spacing w:line="480" w:lineRule="auto"/>
        <w:jc w:val="both"/>
        <w:rPr>
          <w:rFonts w:ascii="Arial" w:hAnsi="Arial" w:cs="Arial"/>
          <w:sz w:val="24"/>
          <w:szCs w:val="24"/>
        </w:rPr>
      </w:pPr>
      <w:r w:rsidRPr="007538A9">
        <w:rPr>
          <w:rFonts w:ascii="Arial" w:hAnsi="Arial" w:cs="Arial"/>
          <w:sz w:val="24"/>
          <w:szCs w:val="24"/>
        </w:rPr>
        <w:t>Two important metrics in disaster recovery and business continuity planning are recovery time objective (RTO) and recovery point objective (RPO). RPO specifies the point in time to which the business will restore their data after a disaster, and RTO specifies the amount of time it should take to restore all applications and systems following a disruption. It specifies how much data a company can afford to lose before it has an impact on productivity and revenue and sets a limit on how far they may roll back their recovery</w:t>
      </w:r>
      <w:r w:rsidR="00B02ADD" w:rsidRPr="007538A9">
        <w:rPr>
          <w:rFonts w:ascii="Arial" w:hAnsi="Arial" w:cs="Arial"/>
          <w:sz w:val="24"/>
          <w:szCs w:val="24"/>
        </w:rPr>
        <w:t xml:space="preserve"> </w:t>
      </w:r>
      <w:r w:rsidR="00D02410" w:rsidRPr="007538A9">
        <w:rPr>
          <w:rFonts w:ascii="Arial" w:hAnsi="Arial" w:cs="Arial"/>
          <w:sz w:val="24"/>
          <w:szCs w:val="24"/>
        </w:rPr>
        <w:t>(Mesevage, 2022)</w:t>
      </w:r>
      <w:r w:rsidRPr="007538A9">
        <w:rPr>
          <w:rFonts w:ascii="Arial" w:hAnsi="Arial" w:cs="Arial"/>
          <w:sz w:val="24"/>
          <w:szCs w:val="24"/>
        </w:rPr>
        <w:t>.</w:t>
      </w:r>
      <w:r w:rsidR="00B02ADD" w:rsidRPr="007538A9">
        <w:rPr>
          <w:rFonts w:ascii="Arial" w:hAnsi="Arial" w:cs="Arial"/>
          <w:sz w:val="24"/>
          <w:szCs w:val="24"/>
        </w:rPr>
        <w:t xml:space="preserve"> In this scenario, it is maximum 1 minute. </w:t>
      </w:r>
      <w:r w:rsidR="00193FA6" w:rsidRPr="007538A9">
        <w:rPr>
          <w:rFonts w:ascii="Arial" w:hAnsi="Arial" w:cs="Arial"/>
          <w:sz w:val="24"/>
          <w:szCs w:val="24"/>
        </w:rPr>
        <w:t>DR s</w:t>
      </w:r>
      <w:r w:rsidR="0015552C" w:rsidRPr="007538A9">
        <w:rPr>
          <w:rFonts w:ascii="Arial" w:hAnsi="Arial" w:cs="Arial"/>
          <w:sz w:val="24"/>
          <w:szCs w:val="24"/>
        </w:rPr>
        <w:t>olutions</w:t>
      </w:r>
      <w:r w:rsidR="00193FA6" w:rsidRPr="007538A9">
        <w:rPr>
          <w:rFonts w:ascii="Arial" w:hAnsi="Arial" w:cs="Arial"/>
          <w:sz w:val="24"/>
          <w:szCs w:val="24"/>
        </w:rPr>
        <w:t xml:space="preserve"> often cost more to operate the smaller RTO and RPO values are.</w:t>
      </w:r>
    </w:p>
    <w:p w14:paraId="71194DBC" w14:textId="7B5FF2F6" w:rsidR="00610AB1" w:rsidRPr="007538A9" w:rsidRDefault="00FF2D55" w:rsidP="00F71614">
      <w:pPr>
        <w:spacing w:line="480" w:lineRule="auto"/>
        <w:jc w:val="both"/>
        <w:rPr>
          <w:rFonts w:ascii="Arial" w:hAnsi="Arial" w:cs="Arial"/>
          <w:color w:val="000000" w:themeColor="text1"/>
          <w:sz w:val="24"/>
          <w:szCs w:val="24"/>
        </w:rPr>
      </w:pPr>
      <w:r w:rsidRPr="007538A9">
        <w:rPr>
          <w:rFonts w:ascii="Arial" w:hAnsi="Arial" w:cs="Arial"/>
          <w:color w:val="000000" w:themeColor="text1"/>
          <w:sz w:val="24"/>
          <w:szCs w:val="24"/>
        </w:rPr>
        <w:t xml:space="preserve">Reduced RPO and RTO are the major targets of a BCDR plan. </w:t>
      </w:r>
      <w:r w:rsidR="008E6847" w:rsidRPr="007538A9">
        <w:rPr>
          <w:rFonts w:ascii="Arial" w:hAnsi="Arial" w:cs="Arial"/>
          <w:color w:val="000000" w:themeColor="text1"/>
          <w:sz w:val="24"/>
          <w:szCs w:val="24"/>
        </w:rPr>
        <w:t xml:space="preserve">Although there </w:t>
      </w:r>
      <w:r w:rsidRPr="007538A9">
        <w:rPr>
          <w:rFonts w:ascii="Arial" w:hAnsi="Arial" w:cs="Arial"/>
          <w:color w:val="000000" w:themeColor="text1"/>
          <w:sz w:val="24"/>
          <w:szCs w:val="24"/>
        </w:rPr>
        <w:t xml:space="preserve">are numerous cloud computing services available, Disaster Recovery as a Service (DRaaS) </w:t>
      </w:r>
      <w:r w:rsidR="008E6847" w:rsidRPr="007538A9">
        <w:rPr>
          <w:rFonts w:ascii="Arial" w:hAnsi="Arial" w:cs="Arial"/>
          <w:color w:val="000000" w:themeColor="text1"/>
          <w:sz w:val="24"/>
          <w:szCs w:val="24"/>
        </w:rPr>
        <w:t>can be selected as the most</w:t>
      </w:r>
      <w:r w:rsidRPr="007538A9">
        <w:rPr>
          <w:rFonts w:ascii="Arial" w:hAnsi="Arial" w:cs="Arial"/>
          <w:color w:val="000000" w:themeColor="text1"/>
          <w:sz w:val="24"/>
          <w:szCs w:val="24"/>
        </w:rPr>
        <w:t xml:space="preserve"> </w:t>
      </w:r>
      <w:r w:rsidR="008E6847" w:rsidRPr="007538A9">
        <w:rPr>
          <w:rFonts w:ascii="Arial" w:hAnsi="Arial" w:cs="Arial"/>
          <w:color w:val="000000" w:themeColor="text1"/>
          <w:sz w:val="24"/>
          <w:szCs w:val="24"/>
        </w:rPr>
        <w:t xml:space="preserve">suitable </w:t>
      </w:r>
      <w:r w:rsidRPr="007538A9">
        <w:rPr>
          <w:rFonts w:ascii="Arial" w:hAnsi="Arial" w:cs="Arial"/>
          <w:color w:val="000000" w:themeColor="text1"/>
          <w:sz w:val="24"/>
          <w:szCs w:val="24"/>
        </w:rPr>
        <w:t xml:space="preserve">for </w:t>
      </w:r>
      <w:r w:rsidR="008E6847" w:rsidRPr="007538A9">
        <w:rPr>
          <w:rFonts w:ascii="Arial" w:hAnsi="Arial" w:cs="Arial"/>
          <w:color w:val="000000" w:themeColor="text1"/>
          <w:sz w:val="24"/>
          <w:szCs w:val="24"/>
        </w:rPr>
        <w:t>this company’s DR</w:t>
      </w:r>
      <w:r w:rsidRPr="007538A9">
        <w:rPr>
          <w:rFonts w:ascii="Arial" w:hAnsi="Arial" w:cs="Arial"/>
          <w:color w:val="000000" w:themeColor="text1"/>
          <w:sz w:val="24"/>
          <w:szCs w:val="24"/>
        </w:rPr>
        <w:t xml:space="preserve">. In comparison to standard disaster recovery solutions, </w:t>
      </w:r>
      <w:r w:rsidR="008E6847" w:rsidRPr="007538A9">
        <w:rPr>
          <w:rFonts w:ascii="Arial" w:hAnsi="Arial" w:cs="Arial"/>
          <w:color w:val="000000" w:themeColor="text1"/>
          <w:sz w:val="24"/>
          <w:szCs w:val="24"/>
        </w:rPr>
        <w:t>this</w:t>
      </w:r>
      <w:r w:rsidRPr="007538A9">
        <w:rPr>
          <w:rFonts w:ascii="Arial" w:hAnsi="Arial" w:cs="Arial"/>
          <w:color w:val="000000" w:themeColor="text1"/>
          <w:sz w:val="24"/>
          <w:szCs w:val="24"/>
        </w:rPr>
        <w:t xml:space="preserve"> is primarily a low-cost solution. This business should consider using this solution as DRaaS can instantly recover from any disaster with a minimum of user intervention and is adaptable in copying data digitally or physically</w:t>
      </w:r>
      <w:r w:rsidR="00243989" w:rsidRPr="007538A9">
        <w:rPr>
          <w:rFonts w:ascii="Arial" w:hAnsi="Arial" w:cs="Arial"/>
          <w:color w:val="000000" w:themeColor="text1"/>
          <w:sz w:val="24"/>
          <w:szCs w:val="24"/>
        </w:rPr>
        <w:t xml:space="preserve"> (Hamadah and Aqel, 2019)</w:t>
      </w:r>
      <w:r w:rsidRPr="007538A9">
        <w:rPr>
          <w:rFonts w:ascii="Arial" w:hAnsi="Arial" w:cs="Arial"/>
          <w:color w:val="000000" w:themeColor="text1"/>
          <w:sz w:val="24"/>
          <w:szCs w:val="24"/>
        </w:rPr>
        <w:t>.</w:t>
      </w:r>
    </w:p>
    <w:p w14:paraId="2A3133DC" w14:textId="1A408277" w:rsidR="00FA7335" w:rsidRPr="007538A9" w:rsidRDefault="008E6847" w:rsidP="00F71614">
      <w:pPr>
        <w:spacing w:line="480" w:lineRule="auto"/>
        <w:jc w:val="both"/>
        <w:rPr>
          <w:rFonts w:ascii="Arial" w:hAnsi="Arial" w:cs="Arial"/>
          <w:color w:val="000000" w:themeColor="text1"/>
          <w:sz w:val="24"/>
          <w:szCs w:val="24"/>
        </w:rPr>
      </w:pPr>
      <w:r w:rsidRPr="007538A9">
        <w:rPr>
          <w:rFonts w:ascii="Arial" w:hAnsi="Arial" w:cs="Arial"/>
          <w:color w:val="000000" w:themeColor="text1"/>
          <w:sz w:val="24"/>
          <w:szCs w:val="24"/>
        </w:rPr>
        <w:lastRenderedPageBreak/>
        <w:t xml:space="preserve">On the other side, DRaaS relieves the company of the responsibility of disaster planning and places it in the hands of disaster recovery specialists. Compared to hosting </w:t>
      </w:r>
      <w:r w:rsidR="00BF6E74" w:rsidRPr="007538A9">
        <w:rPr>
          <w:rFonts w:ascii="Arial" w:hAnsi="Arial" w:cs="Arial"/>
          <w:color w:val="000000" w:themeColor="text1"/>
          <w:sz w:val="24"/>
          <w:szCs w:val="24"/>
        </w:rPr>
        <w:t>our</w:t>
      </w:r>
      <w:r w:rsidRPr="007538A9">
        <w:rPr>
          <w:rFonts w:ascii="Arial" w:hAnsi="Arial" w:cs="Arial"/>
          <w:color w:val="000000" w:themeColor="text1"/>
          <w:sz w:val="24"/>
          <w:szCs w:val="24"/>
        </w:rPr>
        <w:t xml:space="preserve"> own disaster recovery system in a remote place with an IT team on call in case of emergency, this is inexpensive. This can save the company money by removing the need to set up and maintain a dedicated off-site disaster recovery infrastructure. However, business should examine and understand service level agreements. For example, what happens to recovery times if a huge natural disaster affects both the company and the </w:t>
      </w:r>
      <w:r w:rsidR="00891125" w:rsidRPr="007538A9">
        <w:rPr>
          <w:rFonts w:ascii="Arial" w:hAnsi="Arial" w:cs="Arial"/>
          <w:color w:val="000000" w:themeColor="text1"/>
          <w:sz w:val="24"/>
          <w:szCs w:val="24"/>
        </w:rPr>
        <w:t>provider</w:t>
      </w:r>
      <w:r w:rsidRPr="007538A9">
        <w:rPr>
          <w:rFonts w:ascii="Arial" w:hAnsi="Arial" w:cs="Arial"/>
          <w:color w:val="000000" w:themeColor="text1"/>
          <w:sz w:val="24"/>
          <w:szCs w:val="24"/>
        </w:rPr>
        <w:t xml:space="preserve"> simultaneously</w:t>
      </w:r>
      <w:r w:rsidR="00D60B92" w:rsidRPr="007538A9">
        <w:rPr>
          <w:rFonts w:ascii="Arial" w:hAnsi="Arial" w:cs="Arial"/>
          <w:color w:val="000000" w:themeColor="text1"/>
          <w:sz w:val="24"/>
          <w:szCs w:val="24"/>
          <w:shd w:val="clear" w:color="auto" w:fill="FFFFFF"/>
        </w:rPr>
        <w:t xml:space="preserve"> </w:t>
      </w:r>
      <w:r w:rsidR="00D60B92" w:rsidRPr="007538A9">
        <w:rPr>
          <w:rFonts w:ascii="Arial" w:hAnsi="Arial" w:cs="Arial"/>
          <w:color w:val="000000" w:themeColor="text1"/>
          <w:sz w:val="24"/>
          <w:szCs w:val="24"/>
        </w:rPr>
        <w:t>(VMware, 2022)</w:t>
      </w:r>
      <w:r w:rsidRPr="007538A9">
        <w:rPr>
          <w:rFonts w:ascii="Arial" w:hAnsi="Arial" w:cs="Arial"/>
          <w:color w:val="000000" w:themeColor="text1"/>
          <w:sz w:val="24"/>
          <w:szCs w:val="24"/>
        </w:rPr>
        <w:t>.</w:t>
      </w:r>
    </w:p>
    <w:p w14:paraId="5E98709B" w14:textId="5A069793" w:rsidR="00FA7335" w:rsidRPr="007538A9" w:rsidRDefault="008E6847" w:rsidP="00F71614">
      <w:pPr>
        <w:spacing w:line="480" w:lineRule="auto"/>
        <w:jc w:val="both"/>
        <w:rPr>
          <w:rFonts w:ascii="Arial" w:hAnsi="Arial" w:cs="Arial"/>
          <w:color w:val="000000" w:themeColor="text1"/>
          <w:sz w:val="24"/>
          <w:szCs w:val="24"/>
        </w:rPr>
      </w:pPr>
      <w:r w:rsidRPr="007538A9">
        <w:rPr>
          <w:rFonts w:ascii="Arial" w:hAnsi="Arial" w:cs="Arial"/>
          <w:color w:val="000000" w:themeColor="text1"/>
          <w:sz w:val="24"/>
          <w:szCs w:val="24"/>
        </w:rPr>
        <w:t xml:space="preserve">DRaaS works by duplicating and hosting servers at a third-party vendor's facilities rather than at the actual location of the company that owns the workload. In the event of a disaster that shuts down the main site, the disaster recovery plan is put into practice at the third-party vendor's facilities. </w:t>
      </w:r>
      <w:r w:rsidR="00891125" w:rsidRPr="007538A9">
        <w:rPr>
          <w:rFonts w:ascii="Arial" w:hAnsi="Arial" w:cs="Arial"/>
          <w:color w:val="000000" w:themeColor="text1"/>
          <w:sz w:val="24"/>
          <w:szCs w:val="24"/>
        </w:rPr>
        <w:t xml:space="preserve">The company can purchase </w:t>
      </w:r>
      <w:r w:rsidR="00D60B92" w:rsidRPr="007538A9">
        <w:rPr>
          <w:rFonts w:ascii="Arial" w:hAnsi="Arial" w:cs="Arial"/>
          <w:color w:val="000000" w:themeColor="text1"/>
          <w:sz w:val="24"/>
          <w:szCs w:val="24"/>
        </w:rPr>
        <w:t>DRaaS</w:t>
      </w:r>
      <w:r w:rsidRPr="007538A9">
        <w:rPr>
          <w:rFonts w:ascii="Arial" w:hAnsi="Arial" w:cs="Arial"/>
          <w:color w:val="000000" w:themeColor="text1"/>
          <w:sz w:val="24"/>
          <w:szCs w:val="24"/>
        </w:rPr>
        <w:t xml:space="preserve"> plans either as regular subscription models or a pay-per-use models that enables them to pay only when a disaster happens.</w:t>
      </w:r>
      <w:r w:rsidR="00D60B92" w:rsidRPr="007538A9">
        <w:rPr>
          <w:rFonts w:ascii="Arial" w:hAnsi="Arial" w:cs="Arial"/>
          <w:color w:val="000000" w:themeColor="text1"/>
          <w:sz w:val="24"/>
          <w:szCs w:val="24"/>
        </w:rPr>
        <w:t xml:space="preserve"> The ideal choice for this business is </w:t>
      </w:r>
      <w:r w:rsidR="00D60B92" w:rsidRPr="007538A9">
        <w:rPr>
          <w:rFonts w:ascii="Arial" w:hAnsi="Arial" w:cs="Arial"/>
          <w:i/>
          <w:iCs/>
          <w:color w:val="000000" w:themeColor="text1"/>
          <w:sz w:val="24"/>
          <w:szCs w:val="24"/>
        </w:rPr>
        <w:t>Managed DRaaS</w:t>
      </w:r>
      <w:r w:rsidR="00D60B92" w:rsidRPr="007538A9">
        <w:rPr>
          <w:rFonts w:ascii="Arial" w:hAnsi="Arial" w:cs="Arial"/>
          <w:color w:val="000000" w:themeColor="text1"/>
          <w:sz w:val="24"/>
          <w:szCs w:val="24"/>
        </w:rPr>
        <w:t>, where a third party undertakes all responsibility for disaster recovery, as this company lacks the expertise to run its own disaster recovery. To keep updated on all changes to the infrastructure and applications, the company must maintain constant contact with its DRaaS provider (VMware, 2022).</w:t>
      </w:r>
    </w:p>
    <w:p w14:paraId="7FBAAA94" w14:textId="540995B7" w:rsidR="00847308" w:rsidRPr="007538A9" w:rsidRDefault="00D151B0" w:rsidP="00F71614">
      <w:pPr>
        <w:spacing w:line="480" w:lineRule="auto"/>
        <w:jc w:val="both"/>
        <w:rPr>
          <w:rFonts w:ascii="Arial" w:hAnsi="Arial" w:cs="Arial"/>
          <w:sz w:val="24"/>
          <w:szCs w:val="24"/>
        </w:rPr>
      </w:pPr>
      <w:r w:rsidRPr="007538A9">
        <w:rPr>
          <w:rFonts w:ascii="Arial" w:hAnsi="Arial" w:cs="Arial"/>
          <w:sz w:val="24"/>
          <w:szCs w:val="24"/>
        </w:rPr>
        <w:t xml:space="preserve">Business requires disaster recovery platforms and hosts to safeguard their data, apps, and systems in the case of a disruptive situation. </w:t>
      </w:r>
      <w:r w:rsidR="007473F2" w:rsidRPr="007538A9">
        <w:rPr>
          <w:rFonts w:ascii="Arial" w:hAnsi="Arial" w:cs="Arial"/>
          <w:sz w:val="24"/>
          <w:szCs w:val="24"/>
        </w:rPr>
        <w:t>To</w:t>
      </w:r>
      <w:r w:rsidRPr="007538A9">
        <w:rPr>
          <w:rFonts w:ascii="Arial" w:hAnsi="Arial" w:cs="Arial"/>
          <w:sz w:val="24"/>
          <w:szCs w:val="24"/>
        </w:rPr>
        <w:t xml:space="preserve"> guarantee business continuity and reduce downtime, these platforms and hosters provide a variety of services and solutions.</w:t>
      </w:r>
    </w:p>
    <w:p w14:paraId="25F52B2B" w14:textId="2EDC2CB0" w:rsidR="00D60B92" w:rsidRPr="007538A9" w:rsidRDefault="007473F2" w:rsidP="00F71614">
      <w:pPr>
        <w:spacing w:line="480" w:lineRule="auto"/>
        <w:jc w:val="both"/>
        <w:rPr>
          <w:rFonts w:ascii="Arial" w:hAnsi="Arial" w:cs="Arial"/>
          <w:sz w:val="24"/>
          <w:szCs w:val="24"/>
        </w:rPr>
      </w:pPr>
      <w:r w:rsidRPr="007538A9">
        <w:rPr>
          <w:rFonts w:ascii="Arial" w:hAnsi="Arial" w:cs="Arial"/>
          <w:sz w:val="24"/>
          <w:szCs w:val="24"/>
        </w:rPr>
        <w:t>Even though there are several Cloud Platforms available</w:t>
      </w:r>
      <w:r w:rsidR="00F62C41" w:rsidRPr="007538A9">
        <w:rPr>
          <w:rFonts w:ascii="Arial" w:hAnsi="Arial" w:cs="Arial"/>
          <w:sz w:val="24"/>
          <w:szCs w:val="24"/>
        </w:rPr>
        <w:t xml:space="preserve"> like Amazon Web Service and Google Cloud Platform</w:t>
      </w:r>
      <w:r w:rsidRPr="007538A9">
        <w:rPr>
          <w:rFonts w:ascii="Arial" w:hAnsi="Arial" w:cs="Arial"/>
          <w:sz w:val="24"/>
          <w:szCs w:val="24"/>
        </w:rPr>
        <w:t xml:space="preserve">, we can suggest the </w:t>
      </w:r>
      <w:r w:rsidR="00F62C41" w:rsidRPr="007538A9">
        <w:rPr>
          <w:rFonts w:ascii="Arial" w:hAnsi="Arial" w:cs="Arial"/>
          <w:sz w:val="24"/>
          <w:szCs w:val="24"/>
        </w:rPr>
        <w:t xml:space="preserve">Microsoft Azure </w:t>
      </w:r>
      <w:r w:rsidRPr="007538A9">
        <w:rPr>
          <w:rFonts w:ascii="Arial" w:hAnsi="Arial" w:cs="Arial"/>
          <w:sz w:val="24"/>
          <w:szCs w:val="24"/>
        </w:rPr>
        <w:t xml:space="preserve">Cloud-based disaster </w:t>
      </w:r>
      <w:r w:rsidRPr="007538A9">
        <w:rPr>
          <w:rFonts w:ascii="Arial" w:hAnsi="Arial" w:cs="Arial"/>
          <w:sz w:val="24"/>
          <w:szCs w:val="24"/>
        </w:rPr>
        <w:lastRenderedPageBreak/>
        <w:t>recovery model, because of its extremely popularity among businesses due to its high availability storage, networking and file synchronization, automatic data replication</w:t>
      </w:r>
      <w:r w:rsidR="00F62C41" w:rsidRPr="007538A9">
        <w:rPr>
          <w:rFonts w:ascii="Arial" w:hAnsi="Arial" w:cs="Arial"/>
          <w:sz w:val="24"/>
          <w:szCs w:val="24"/>
        </w:rPr>
        <w:t xml:space="preserve"> </w:t>
      </w:r>
      <w:r w:rsidRPr="007538A9">
        <w:rPr>
          <w:rFonts w:ascii="Arial" w:hAnsi="Arial" w:cs="Arial"/>
          <w:sz w:val="24"/>
          <w:szCs w:val="24"/>
        </w:rPr>
        <w:t>as well as automated backup and recovery features. Regardless of the ecosystem's scope, complexity, and differences among physical locations, this company can integrate it into their architectural design. The Azure Cloud Disaster Recovery plan provides outstanding safety and high compatibility in terms of key management and data protection</w:t>
      </w:r>
      <w:r w:rsidR="007A4F1A" w:rsidRPr="007538A9">
        <w:rPr>
          <w:rFonts w:ascii="Arial" w:hAnsi="Arial" w:cs="Arial"/>
          <w:sz w:val="24"/>
          <w:szCs w:val="24"/>
        </w:rPr>
        <w:t xml:space="preserve"> (Cloud4C, n.d.)</w:t>
      </w:r>
      <w:r w:rsidRPr="007538A9">
        <w:rPr>
          <w:rFonts w:ascii="Arial" w:hAnsi="Arial" w:cs="Arial"/>
          <w:sz w:val="24"/>
          <w:szCs w:val="24"/>
        </w:rPr>
        <w:t>.</w:t>
      </w:r>
    </w:p>
    <w:p w14:paraId="0B5DAA0C" w14:textId="7F62FFE5" w:rsidR="00F62C41" w:rsidRPr="007538A9" w:rsidRDefault="00F62C41" w:rsidP="00F71614">
      <w:pPr>
        <w:spacing w:line="480" w:lineRule="auto"/>
        <w:jc w:val="both"/>
        <w:rPr>
          <w:rFonts w:ascii="Arial" w:hAnsi="Arial" w:cs="Arial"/>
          <w:sz w:val="24"/>
          <w:szCs w:val="24"/>
        </w:rPr>
      </w:pPr>
      <w:r w:rsidRPr="007538A9">
        <w:rPr>
          <w:rFonts w:ascii="Arial" w:hAnsi="Arial" w:cs="Arial"/>
          <w:sz w:val="24"/>
          <w:szCs w:val="24"/>
        </w:rPr>
        <w:t>The backup site or DR site, which will be utilized for data storage and quick recovery in the event of a disaster, is another important part of a BCDR plan. According to Ms. O'dour's requirements, Hot site is the finest choice for this company.</w:t>
      </w:r>
    </w:p>
    <w:p w14:paraId="463A7AE9" w14:textId="62C58F95" w:rsidR="007473F2" w:rsidRPr="007538A9" w:rsidRDefault="007A4F1A" w:rsidP="00F71614">
      <w:pPr>
        <w:spacing w:line="480" w:lineRule="auto"/>
        <w:jc w:val="both"/>
        <w:rPr>
          <w:rFonts w:ascii="Arial" w:hAnsi="Arial" w:cs="Arial"/>
          <w:sz w:val="24"/>
          <w:szCs w:val="24"/>
        </w:rPr>
      </w:pPr>
      <w:r w:rsidRPr="007538A9">
        <w:rPr>
          <w:rFonts w:ascii="Arial" w:hAnsi="Arial" w:cs="Arial"/>
          <w:sz w:val="24"/>
          <w:szCs w:val="24"/>
        </w:rPr>
        <w:t xml:space="preserve">It is an exact duplicate of the </w:t>
      </w:r>
      <w:r w:rsidR="007F54D2" w:rsidRPr="007538A9">
        <w:rPr>
          <w:rFonts w:ascii="Arial" w:hAnsi="Arial" w:cs="Arial"/>
          <w:sz w:val="24"/>
          <w:szCs w:val="24"/>
        </w:rPr>
        <w:t>primary business</w:t>
      </w:r>
      <w:r w:rsidRPr="007538A9">
        <w:rPr>
          <w:rFonts w:ascii="Arial" w:hAnsi="Arial" w:cs="Arial"/>
          <w:sz w:val="24"/>
          <w:szCs w:val="24"/>
        </w:rPr>
        <w:t xml:space="preserve"> location. A hot site can execute near real-time backup or replication of </w:t>
      </w:r>
      <w:r w:rsidR="00F62C41" w:rsidRPr="007538A9">
        <w:rPr>
          <w:rFonts w:ascii="Arial" w:hAnsi="Arial" w:cs="Arial"/>
          <w:sz w:val="24"/>
          <w:szCs w:val="24"/>
        </w:rPr>
        <w:t>crucial</w:t>
      </w:r>
      <w:r w:rsidRPr="007538A9">
        <w:rPr>
          <w:rFonts w:ascii="Arial" w:hAnsi="Arial" w:cs="Arial"/>
          <w:sz w:val="24"/>
          <w:szCs w:val="24"/>
        </w:rPr>
        <w:t xml:space="preserve"> data since it has all the required devices, software, and network access. It guarantees no data loss and minimum downtime. It is assumed that a hot site will operate continuously and without interruption to maintain data synchronization across the sites. However, among the three, a hot site is the most expensive choice. To lessen the likelihood that a hot site would be impacted by the same disaster as the primary site, it is essential to make sure that this sort of DR site is situated far away from the primary location</w:t>
      </w:r>
      <w:r w:rsidRPr="007538A9">
        <w:rPr>
          <w:rFonts w:ascii="Arial" w:hAnsi="Arial" w:cs="Arial"/>
          <w:color w:val="2C3E50"/>
          <w:sz w:val="24"/>
          <w:szCs w:val="24"/>
          <w:shd w:val="clear" w:color="auto" w:fill="FFFFFF"/>
        </w:rPr>
        <w:t xml:space="preserve"> </w:t>
      </w:r>
      <w:r w:rsidRPr="007538A9">
        <w:rPr>
          <w:rFonts w:ascii="Arial" w:hAnsi="Arial" w:cs="Arial"/>
          <w:sz w:val="24"/>
          <w:szCs w:val="24"/>
        </w:rPr>
        <w:t>(Reed, 2019).</w:t>
      </w:r>
    </w:p>
    <w:p w14:paraId="53EC153C" w14:textId="1F009777" w:rsidR="001E0D8E" w:rsidRPr="007538A9" w:rsidRDefault="001E0D8E" w:rsidP="00F71614">
      <w:pPr>
        <w:spacing w:line="480" w:lineRule="auto"/>
        <w:jc w:val="both"/>
        <w:rPr>
          <w:rFonts w:ascii="Arial" w:hAnsi="Arial" w:cs="Arial"/>
          <w:sz w:val="24"/>
          <w:szCs w:val="24"/>
        </w:rPr>
      </w:pPr>
      <w:r w:rsidRPr="007538A9">
        <w:rPr>
          <w:rFonts w:ascii="Arial" w:hAnsi="Arial" w:cs="Arial"/>
          <w:sz w:val="24"/>
          <w:szCs w:val="24"/>
        </w:rPr>
        <w:t xml:space="preserve">In the context of BCDR, the term "vendor lock-in" describes a situation in which a business becomes extremely reliant on a single disaster recovery provider or platform, making it difficult to transfer to an alternative solution without paying a sizable expense, effort, or disruption. Several things, </w:t>
      </w:r>
      <w:r w:rsidR="008C16E8" w:rsidRPr="007538A9">
        <w:rPr>
          <w:rFonts w:ascii="Arial" w:hAnsi="Arial" w:cs="Arial"/>
          <w:sz w:val="24"/>
          <w:szCs w:val="24"/>
        </w:rPr>
        <w:t>including</w:t>
      </w:r>
      <w:r w:rsidRPr="007538A9">
        <w:rPr>
          <w:rFonts w:ascii="Arial" w:hAnsi="Arial" w:cs="Arial"/>
          <w:sz w:val="24"/>
          <w:szCs w:val="24"/>
        </w:rPr>
        <w:t xml:space="preserve"> unique technology, data formats, legal commitments, or integrated connections, might lead to vendor lock-in</w:t>
      </w:r>
      <w:r w:rsidR="00997C56" w:rsidRPr="007538A9">
        <w:rPr>
          <w:rFonts w:ascii="Arial" w:hAnsi="Arial" w:cs="Arial"/>
          <w:sz w:val="24"/>
          <w:szCs w:val="24"/>
        </w:rPr>
        <w:t xml:space="preserve"> (Lopez, Moreno and Tous, 2019)</w:t>
      </w:r>
      <w:r w:rsidRPr="007538A9">
        <w:rPr>
          <w:rFonts w:ascii="Arial" w:hAnsi="Arial" w:cs="Arial"/>
          <w:sz w:val="24"/>
          <w:szCs w:val="24"/>
        </w:rPr>
        <w:t xml:space="preserve">. </w:t>
      </w:r>
      <w:r w:rsidRPr="007538A9">
        <w:rPr>
          <w:rFonts w:ascii="Arial" w:hAnsi="Arial" w:cs="Arial"/>
          <w:sz w:val="24"/>
          <w:szCs w:val="24"/>
        </w:rPr>
        <w:lastRenderedPageBreak/>
        <w:t xml:space="preserve">The following factors should be </w:t>
      </w:r>
      <w:r w:rsidR="008C16E8" w:rsidRPr="007538A9">
        <w:rPr>
          <w:rFonts w:ascii="Arial" w:hAnsi="Arial" w:cs="Arial"/>
          <w:sz w:val="24"/>
          <w:szCs w:val="24"/>
        </w:rPr>
        <w:t>considered</w:t>
      </w:r>
      <w:r w:rsidRPr="007538A9">
        <w:rPr>
          <w:rFonts w:ascii="Arial" w:hAnsi="Arial" w:cs="Arial"/>
          <w:sz w:val="24"/>
          <w:szCs w:val="24"/>
        </w:rPr>
        <w:t xml:space="preserve"> to reduce the dangers of vendor lock-in in disaster recovery,</w:t>
      </w:r>
    </w:p>
    <w:p w14:paraId="5B36657F" w14:textId="550E6F69" w:rsidR="008C16E8" w:rsidRPr="007538A9" w:rsidRDefault="008C16E8" w:rsidP="00FE3F84">
      <w:pPr>
        <w:pStyle w:val="ListParagraph"/>
        <w:numPr>
          <w:ilvl w:val="0"/>
          <w:numId w:val="19"/>
        </w:numPr>
        <w:spacing w:line="480" w:lineRule="auto"/>
        <w:jc w:val="both"/>
        <w:rPr>
          <w:rFonts w:ascii="Arial" w:hAnsi="Arial" w:cs="Arial"/>
          <w:sz w:val="24"/>
          <w:szCs w:val="24"/>
        </w:rPr>
      </w:pPr>
      <w:r w:rsidRPr="007538A9">
        <w:rPr>
          <w:rFonts w:ascii="Arial" w:hAnsi="Arial" w:cs="Arial"/>
          <w:sz w:val="24"/>
          <w:szCs w:val="24"/>
        </w:rPr>
        <w:t xml:space="preserve">selecting </w:t>
      </w:r>
      <w:r w:rsidR="00F62C41" w:rsidRPr="007538A9">
        <w:rPr>
          <w:rFonts w:ascii="Arial" w:hAnsi="Arial" w:cs="Arial"/>
          <w:sz w:val="24"/>
          <w:szCs w:val="24"/>
        </w:rPr>
        <w:t>BCSR</w:t>
      </w:r>
      <w:r w:rsidRPr="007538A9">
        <w:rPr>
          <w:rFonts w:ascii="Arial" w:hAnsi="Arial" w:cs="Arial"/>
          <w:sz w:val="24"/>
          <w:szCs w:val="24"/>
        </w:rPr>
        <w:t xml:space="preserve"> solutions that follow industry guidelines. </w:t>
      </w:r>
    </w:p>
    <w:p w14:paraId="5B22245A" w14:textId="6BF2B0BA" w:rsidR="008C16E8" w:rsidRPr="007538A9" w:rsidRDefault="00F62C41" w:rsidP="00FE3F84">
      <w:pPr>
        <w:pStyle w:val="ListParagraph"/>
        <w:numPr>
          <w:ilvl w:val="0"/>
          <w:numId w:val="19"/>
        </w:numPr>
        <w:spacing w:line="480" w:lineRule="auto"/>
        <w:jc w:val="both"/>
        <w:rPr>
          <w:rFonts w:ascii="Arial" w:hAnsi="Arial" w:cs="Arial"/>
          <w:sz w:val="24"/>
          <w:szCs w:val="24"/>
        </w:rPr>
      </w:pPr>
      <w:r w:rsidRPr="007538A9">
        <w:rPr>
          <w:rFonts w:ascii="Arial" w:hAnsi="Arial" w:cs="Arial"/>
          <w:sz w:val="24"/>
          <w:szCs w:val="24"/>
        </w:rPr>
        <w:t>Not</w:t>
      </w:r>
      <w:r w:rsidR="008C16E8" w:rsidRPr="007538A9">
        <w:rPr>
          <w:rFonts w:ascii="Arial" w:hAnsi="Arial" w:cs="Arial"/>
          <w:sz w:val="24"/>
          <w:szCs w:val="24"/>
        </w:rPr>
        <w:t xml:space="preserve"> depend</w:t>
      </w:r>
      <w:r w:rsidRPr="007538A9">
        <w:rPr>
          <w:rFonts w:ascii="Arial" w:hAnsi="Arial" w:cs="Arial"/>
          <w:sz w:val="24"/>
          <w:szCs w:val="24"/>
        </w:rPr>
        <w:t>ing</w:t>
      </w:r>
      <w:r w:rsidR="008C16E8" w:rsidRPr="007538A9">
        <w:rPr>
          <w:rFonts w:ascii="Arial" w:hAnsi="Arial" w:cs="Arial"/>
          <w:sz w:val="24"/>
          <w:szCs w:val="24"/>
        </w:rPr>
        <w:t xml:space="preserve"> too heavily on </w:t>
      </w:r>
      <w:r w:rsidRPr="007538A9">
        <w:rPr>
          <w:rFonts w:ascii="Arial" w:hAnsi="Arial" w:cs="Arial"/>
          <w:sz w:val="24"/>
          <w:szCs w:val="24"/>
        </w:rPr>
        <w:t>unique</w:t>
      </w:r>
      <w:r w:rsidR="008C16E8" w:rsidRPr="007538A9">
        <w:rPr>
          <w:rFonts w:ascii="Arial" w:hAnsi="Arial" w:cs="Arial"/>
          <w:sz w:val="24"/>
          <w:szCs w:val="24"/>
        </w:rPr>
        <w:t xml:space="preserve"> technologies </w:t>
      </w:r>
      <w:r w:rsidRPr="007538A9">
        <w:rPr>
          <w:rFonts w:ascii="Arial" w:hAnsi="Arial" w:cs="Arial"/>
          <w:sz w:val="24"/>
          <w:szCs w:val="24"/>
        </w:rPr>
        <w:t>that</w:t>
      </w:r>
      <w:r w:rsidR="008C16E8" w:rsidRPr="007538A9">
        <w:rPr>
          <w:rFonts w:ascii="Arial" w:hAnsi="Arial" w:cs="Arial"/>
          <w:sz w:val="24"/>
          <w:szCs w:val="24"/>
        </w:rPr>
        <w:t xml:space="preserve"> restrict flexibility and make migration challenging. </w:t>
      </w:r>
    </w:p>
    <w:p w14:paraId="7B2957D1" w14:textId="77777777" w:rsidR="008C16E8" w:rsidRPr="007538A9" w:rsidRDefault="008C16E8" w:rsidP="00FE3F84">
      <w:pPr>
        <w:pStyle w:val="ListParagraph"/>
        <w:numPr>
          <w:ilvl w:val="0"/>
          <w:numId w:val="19"/>
        </w:numPr>
        <w:spacing w:line="480" w:lineRule="auto"/>
        <w:jc w:val="both"/>
        <w:rPr>
          <w:rFonts w:ascii="Arial" w:hAnsi="Arial" w:cs="Arial"/>
          <w:sz w:val="24"/>
          <w:szCs w:val="24"/>
        </w:rPr>
      </w:pPr>
      <w:r w:rsidRPr="007538A9">
        <w:rPr>
          <w:rFonts w:ascii="Arial" w:hAnsi="Arial" w:cs="Arial"/>
          <w:sz w:val="24"/>
          <w:szCs w:val="24"/>
        </w:rPr>
        <w:t xml:space="preserve">Verify if the DR solution enables simple data migration and transfer between multiple platforms. </w:t>
      </w:r>
    </w:p>
    <w:p w14:paraId="2FEB1E08" w14:textId="5B6F6C4A" w:rsidR="008C16E8" w:rsidRPr="007538A9" w:rsidRDefault="008C16E8" w:rsidP="00FE3F84">
      <w:pPr>
        <w:pStyle w:val="ListParagraph"/>
        <w:numPr>
          <w:ilvl w:val="0"/>
          <w:numId w:val="19"/>
        </w:numPr>
        <w:spacing w:line="480" w:lineRule="auto"/>
        <w:jc w:val="both"/>
        <w:rPr>
          <w:rFonts w:ascii="Arial" w:hAnsi="Arial" w:cs="Arial"/>
          <w:sz w:val="24"/>
          <w:szCs w:val="24"/>
        </w:rPr>
      </w:pPr>
      <w:r w:rsidRPr="007538A9">
        <w:rPr>
          <w:rFonts w:ascii="Arial" w:hAnsi="Arial" w:cs="Arial"/>
          <w:sz w:val="24"/>
          <w:szCs w:val="24"/>
        </w:rPr>
        <w:t xml:space="preserve">Thoroughly go over the terms and conditions </w:t>
      </w:r>
      <w:r w:rsidR="00F62C41" w:rsidRPr="007538A9">
        <w:rPr>
          <w:rFonts w:ascii="Arial" w:hAnsi="Arial" w:cs="Arial"/>
          <w:sz w:val="24"/>
          <w:szCs w:val="24"/>
        </w:rPr>
        <w:t xml:space="preserve">of legal </w:t>
      </w:r>
      <w:r w:rsidRPr="007538A9">
        <w:rPr>
          <w:rFonts w:ascii="Arial" w:hAnsi="Arial" w:cs="Arial"/>
          <w:sz w:val="24"/>
          <w:szCs w:val="24"/>
        </w:rPr>
        <w:t xml:space="preserve">contracts, paying attention to the transferability, ownership, and exit clauses. </w:t>
      </w:r>
    </w:p>
    <w:p w14:paraId="0E962BF4" w14:textId="69EBD5D2" w:rsidR="001E0D8E" w:rsidRPr="007538A9" w:rsidRDefault="008C16E8" w:rsidP="00FE3F84">
      <w:pPr>
        <w:pStyle w:val="ListParagraph"/>
        <w:numPr>
          <w:ilvl w:val="0"/>
          <w:numId w:val="19"/>
        </w:numPr>
        <w:spacing w:line="480" w:lineRule="auto"/>
        <w:jc w:val="both"/>
        <w:rPr>
          <w:rFonts w:ascii="Arial" w:hAnsi="Arial" w:cs="Arial"/>
          <w:sz w:val="24"/>
          <w:szCs w:val="24"/>
        </w:rPr>
      </w:pPr>
      <w:r w:rsidRPr="007538A9">
        <w:rPr>
          <w:rFonts w:ascii="Arial" w:hAnsi="Arial" w:cs="Arial"/>
          <w:sz w:val="24"/>
          <w:szCs w:val="24"/>
        </w:rPr>
        <w:t>Create a long-term DR strategy that involves regular performance and requirement reviews of technology.</w:t>
      </w:r>
    </w:p>
    <w:p w14:paraId="2530088B" w14:textId="683EFABD" w:rsidR="00655F0E" w:rsidRPr="007538A9" w:rsidRDefault="00655F0E" w:rsidP="00F71614">
      <w:pPr>
        <w:spacing w:line="480" w:lineRule="auto"/>
        <w:jc w:val="both"/>
        <w:rPr>
          <w:rFonts w:ascii="Arial" w:hAnsi="Arial" w:cs="Arial"/>
          <w:sz w:val="24"/>
          <w:szCs w:val="24"/>
        </w:rPr>
      </w:pPr>
      <w:r w:rsidRPr="007538A9">
        <w:rPr>
          <w:rFonts w:ascii="Arial" w:hAnsi="Arial" w:cs="Arial"/>
          <w:sz w:val="24"/>
          <w:szCs w:val="24"/>
        </w:rPr>
        <w:t>(Opara-Martins, Sahandi, Tian, 2014)</w:t>
      </w:r>
    </w:p>
    <w:p w14:paraId="71EFEE61" w14:textId="22AEBE3E" w:rsidR="00AF50FA" w:rsidRPr="007538A9" w:rsidRDefault="007F54D2" w:rsidP="00F71614">
      <w:pPr>
        <w:spacing w:line="480" w:lineRule="auto"/>
        <w:jc w:val="both"/>
        <w:rPr>
          <w:rFonts w:ascii="Arial" w:hAnsi="Arial" w:cs="Arial"/>
          <w:sz w:val="24"/>
          <w:szCs w:val="24"/>
        </w:rPr>
      </w:pPr>
      <w:r w:rsidRPr="007538A9">
        <w:rPr>
          <w:rFonts w:ascii="Arial" w:hAnsi="Arial" w:cs="Arial"/>
          <w:sz w:val="24"/>
          <w:szCs w:val="24"/>
        </w:rPr>
        <w:t>It is</w:t>
      </w:r>
      <w:r w:rsidR="00F62C41" w:rsidRPr="007538A9">
        <w:rPr>
          <w:rFonts w:ascii="Arial" w:hAnsi="Arial" w:cs="Arial"/>
          <w:sz w:val="24"/>
          <w:szCs w:val="24"/>
        </w:rPr>
        <w:t xml:space="preserve"> important to recall that, despite the difficulties vendor lock-in might cause, using a disaster recovery provider or platform is not always </w:t>
      </w:r>
      <w:r w:rsidRPr="007538A9">
        <w:rPr>
          <w:rFonts w:ascii="Arial" w:hAnsi="Arial" w:cs="Arial"/>
          <w:sz w:val="24"/>
          <w:szCs w:val="24"/>
        </w:rPr>
        <w:t>a wrong decision</w:t>
      </w:r>
      <w:r w:rsidR="00F62C41" w:rsidRPr="007538A9">
        <w:rPr>
          <w:rFonts w:ascii="Arial" w:hAnsi="Arial" w:cs="Arial"/>
          <w:sz w:val="24"/>
          <w:szCs w:val="24"/>
        </w:rPr>
        <w:t>. To minimize the effects of vendor lock-in and make sure that the chosen solution is in line with the long-term objectives and demands of the business, it is important to thoroughly investigate the risks and take proactive measures.</w:t>
      </w:r>
    </w:p>
    <w:p w14:paraId="0547B602" w14:textId="77777777" w:rsidR="001146DD" w:rsidRDefault="001146DD" w:rsidP="00F71614">
      <w:pPr>
        <w:spacing w:line="480" w:lineRule="auto"/>
        <w:jc w:val="both"/>
        <w:rPr>
          <w:rFonts w:ascii="Arial" w:hAnsi="Arial" w:cs="Arial"/>
          <w:b/>
          <w:bCs/>
          <w:sz w:val="24"/>
          <w:szCs w:val="24"/>
        </w:rPr>
      </w:pPr>
    </w:p>
    <w:p w14:paraId="6ECB2C54" w14:textId="77777777" w:rsidR="001C0757" w:rsidRDefault="001C0757" w:rsidP="00F71614">
      <w:pPr>
        <w:spacing w:line="480" w:lineRule="auto"/>
        <w:jc w:val="both"/>
        <w:rPr>
          <w:rFonts w:ascii="Arial" w:hAnsi="Arial" w:cs="Arial"/>
          <w:b/>
          <w:bCs/>
          <w:sz w:val="24"/>
          <w:szCs w:val="24"/>
        </w:rPr>
      </w:pPr>
    </w:p>
    <w:p w14:paraId="0C108430" w14:textId="77777777" w:rsidR="001C0757" w:rsidRDefault="001C0757" w:rsidP="00F71614">
      <w:pPr>
        <w:spacing w:line="480" w:lineRule="auto"/>
        <w:jc w:val="both"/>
        <w:rPr>
          <w:rFonts w:ascii="Arial" w:hAnsi="Arial" w:cs="Arial"/>
          <w:b/>
          <w:bCs/>
          <w:sz w:val="24"/>
          <w:szCs w:val="24"/>
        </w:rPr>
      </w:pPr>
    </w:p>
    <w:p w14:paraId="0EF1D50D" w14:textId="77777777" w:rsidR="001C0757" w:rsidRPr="007538A9" w:rsidRDefault="001C0757" w:rsidP="00F71614">
      <w:pPr>
        <w:spacing w:line="480" w:lineRule="auto"/>
        <w:jc w:val="both"/>
        <w:rPr>
          <w:rFonts w:ascii="Arial" w:hAnsi="Arial" w:cs="Arial"/>
          <w:b/>
          <w:bCs/>
          <w:sz w:val="24"/>
          <w:szCs w:val="24"/>
        </w:rPr>
      </w:pPr>
    </w:p>
    <w:p w14:paraId="4FFE55F7" w14:textId="3F5D9C73" w:rsidR="00302E1A" w:rsidRPr="00F71614" w:rsidRDefault="00441326" w:rsidP="00F71614">
      <w:pPr>
        <w:spacing w:line="480" w:lineRule="auto"/>
        <w:jc w:val="both"/>
        <w:rPr>
          <w:rFonts w:ascii="Arial" w:eastAsia="Verdana" w:hAnsi="Arial" w:cs="Arial"/>
          <w:b/>
          <w:bCs/>
          <w:color w:val="2F5496" w:themeColor="accent1" w:themeShade="BF"/>
          <w:kern w:val="0"/>
          <w:sz w:val="24"/>
          <w:szCs w:val="24"/>
          <w:lang w:val="en-GB"/>
          <w14:ligatures w14:val="none"/>
        </w:rPr>
      </w:pPr>
      <w:r w:rsidRPr="00F71614">
        <w:rPr>
          <w:rFonts w:ascii="Arial" w:eastAsia="Verdana" w:hAnsi="Arial" w:cs="Arial"/>
          <w:b/>
          <w:bCs/>
          <w:color w:val="2F5496" w:themeColor="accent1" w:themeShade="BF"/>
          <w:kern w:val="0"/>
          <w:sz w:val="24"/>
          <w:szCs w:val="24"/>
          <w:lang w:val="en-GB"/>
          <w14:ligatures w14:val="none"/>
        </w:rPr>
        <w:lastRenderedPageBreak/>
        <w:t>References</w:t>
      </w:r>
    </w:p>
    <w:p w14:paraId="2566CA73"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Metsänen</w:t>
      </w:r>
      <w:proofErr w:type="spellEnd"/>
      <w:r w:rsidRPr="008B7BC7">
        <w:rPr>
          <w:rFonts w:ascii="Arial" w:hAnsi="Arial" w:cs="Arial"/>
          <w:color w:val="000000"/>
        </w:rPr>
        <w:t>, T. (2022)</w:t>
      </w:r>
      <w:r w:rsidRPr="008B7BC7">
        <w:rPr>
          <w:rStyle w:val="apple-converted-space"/>
          <w:rFonts w:ascii="Arial" w:hAnsi="Arial" w:cs="Arial"/>
          <w:color w:val="000000"/>
        </w:rPr>
        <w:t> </w:t>
      </w:r>
      <w:r w:rsidRPr="008B7BC7">
        <w:rPr>
          <w:rFonts w:ascii="Arial" w:hAnsi="Arial" w:cs="Arial"/>
          <w:i/>
          <w:iCs/>
          <w:color w:val="000000"/>
        </w:rPr>
        <w:t xml:space="preserve">Application of decision tree analysis and expected monetary value technique in quantitative risk </w:t>
      </w:r>
      <w:proofErr w:type="gramStart"/>
      <w:r w:rsidRPr="008B7BC7">
        <w:rPr>
          <w:rFonts w:ascii="Arial" w:hAnsi="Arial" w:cs="Arial"/>
          <w:i/>
          <w:iCs/>
          <w:color w:val="000000"/>
        </w:rPr>
        <w:t>management :</w:t>
      </w:r>
      <w:proofErr w:type="gramEnd"/>
      <w:r w:rsidRPr="008B7BC7">
        <w:rPr>
          <w:rFonts w:ascii="Arial" w:hAnsi="Arial" w:cs="Arial"/>
          <w:i/>
          <w:iCs/>
          <w:color w:val="000000"/>
        </w:rPr>
        <w:t xml:space="preserve"> Evaluation of less risky investment strategy.</w:t>
      </w:r>
      <w:r w:rsidRPr="008B7BC7">
        <w:rPr>
          <w:rFonts w:ascii="Arial" w:hAnsi="Arial" w:cs="Arial"/>
          <w:color w:val="000000"/>
        </w:rPr>
        <w:t>,</w:t>
      </w:r>
      <w:r w:rsidRPr="008B7BC7">
        <w:rPr>
          <w:rStyle w:val="apple-converted-space"/>
          <w:rFonts w:ascii="Arial" w:hAnsi="Arial" w:cs="Arial"/>
          <w:color w:val="000000"/>
        </w:rPr>
        <w:t> </w:t>
      </w:r>
      <w:proofErr w:type="spellStart"/>
      <w:r w:rsidRPr="008B7BC7">
        <w:rPr>
          <w:rFonts w:ascii="Arial" w:hAnsi="Arial" w:cs="Arial"/>
          <w:i/>
          <w:iCs/>
          <w:color w:val="000000"/>
        </w:rPr>
        <w:t>Osuva</w:t>
      </w:r>
      <w:r w:rsidRPr="008B7BC7">
        <w:rPr>
          <w:rFonts w:ascii="Arial" w:hAnsi="Arial" w:cs="Arial"/>
          <w:color w:val="000000"/>
        </w:rPr>
        <w:t>.Available</w:t>
      </w:r>
      <w:proofErr w:type="spellEnd"/>
      <w:r w:rsidRPr="008B7BC7">
        <w:rPr>
          <w:rFonts w:ascii="Arial" w:hAnsi="Arial" w:cs="Arial"/>
          <w:color w:val="000000"/>
        </w:rPr>
        <w:t xml:space="preserve"> at: https://osuva.uwasa.fi/handle/10024/13879 (Accessed: 22 May 2023).</w:t>
      </w:r>
      <w:r w:rsidRPr="008B7BC7">
        <w:rPr>
          <w:rStyle w:val="apple-converted-space"/>
          <w:rFonts w:ascii="Arial" w:hAnsi="Arial" w:cs="Arial"/>
          <w:color w:val="000000"/>
        </w:rPr>
        <w:t> </w:t>
      </w:r>
    </w:p>
    <w:p w14:paraId="73715DC3"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Gilaninia</w:t>
      </w:r>
      <w:proofErr w:type="spellEnd"/>
      <w:r w:rsidRPr="008B7BC7">
        <w:rPr>
          <w:rFonts w:ascii="Arial" w:hAnsi="Arial" w:cs="Arial"/>
          <w:color w:val="000000"/>
        </w:rPr>
        <w:t xml:space="preserve">, S., </w:t>
      </w:r>
      <w:proofErr w:type="spellStart"/>
      <w:r w:rsidRPr="008B7BC7">
        <w:rPr>
          <w:rFonts w:ascii="Arial" w:hAnsi="Arial" w:cs="Arial"/>
          <w:color w:val="000000"/>
        </w:rPr>
        <w:t>Ganjinia</w:t>
      </w:r>
      <w:proofErr w:type="spellEnd"/>
      <w:r w:rsidRPr="008B7BC7">
        <w:rPr>
          <w:rFonts w:ascii="Arial" w:hAnsi="Arial" w:cs="Arial"/>
          <w:color w:val="000000"/>
        </w:rPr>
        <w:t xml:space="preserve">, H. and </w:t>
      </w:r>
      <w:proofErr w:type="spellStart"/>
      <w:r w:rsidRPr="008B7BC7">
        <w:rPr>
          <w:rFonts w:ascii="Arial" w:hAnsi="Arial" w:cs="Arial"/>
          <w:color w:val="000000"/>
        </w:rPr>
        <w:t>Mahdikhanmahaleh</w:t>
      </w:r>
      <w:proofErr w:type="spellEnd"/>
      <w:r w:rsidRPr="008B7BC7">
        <w:rPr>
          <w:rFonts w:ascii="Arial" w:hAnsi="Arial" w:cs="Arial"/>
          <w:color w:val="000000"/>
        </w:rPr>
        <w:t>, B.A. (2013)</w:t>
      </w:r>
      <w:r w:rsidRPr="008B7BC7">
        <w:rPr>
          <w:rStyle w:val="apple-converted-space"/>
          <w:rFonts w:ascii="Arial" w:hAnsi="Arial" w:cs="Arial"/>
          <w:color w:val="000000"/>
        </w:rPr>
        <w:t> </w:t>
      </w:r>
      <w:r w:rsidRPr="008B7BC7">
        <w:rPr>
          <w:rFonts w:ascii="Arial" w:hAnsi="Arial" w:cs="Arial"/>
          <w:i/>
          <w:iCs/>
          <w:color w:val="000000"/>
        </w:rPr>
        <w:t>Difference between internal and external supply chain risks on its performance</w:t>
      </w:r>
      <w:r w:rsidRPr="008B7BC7">
        <w:rPr>
          <w:rFonts w:ascii="Arial" w:hAnsi="Arial" w:cs="Arial"/>
          <w:color w:val="000000"/>
        </w:rPr>
        <w:t>. Available at: https://singaporeanjbem.com/pdfs/SG_VOL_1_(8)/2.pdf (Accessed: 22 May 2023).</w:t>
      </w:r>
      <w:r w:rsidRPr="008B7BC7">
        <w:rPr>
          <w:rStyle w:val="apple-converted-space"/>
          <w:rFonts w:ascii="Arial" w:hAnsi="Arial" w:cs="Arial"/>
          <w:color w:val="000000"/>
        </w:rPr>
        <w:t> </w:t>
      </w:r>
    </w:p>
    <w:p w14:paraId="5F2706B0"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b/>
          <w:bCs/>
          <w:sz w:val="24"/>
          <w:szCs w:val="24"/>
        </w:rPr>
        <w:t xml:space="preserve">Wagner, D. &amp; </w:t>
      </w:r>
      <w:proofErr w:type="spellStart"/>
      <w:r w:rsidRPr="008B7BC7">
        <w:rPr>
          <w:rFonts w:ascii="Arial" w:hAnsi="Arial" w:cs="Arial"/>
          <w:b/>
          <w:bCs/>
          <w:sz w:val="24"/>
          <w:szCs w:val="24"/>
        </w:rPr>
        <w:t>Shiraji</w:t>
      </w:r>
      <w:proofErr w:type="spellEnd"/>
      <w:r w:rsidRPr="008B7BC7">
        <w:rPr>
          <w:rFonts w:ascii="Arial" w:hAnsi="Arial" w:cs="Arial"/>
          <w:b/>
          <w:bCs/>
          <w:sz w:val="24"/>
          <w:szCs w:val="24"/>
        </w:rPr>
        <w:t>, K., 2019. Calculating project risk contingency Expected Monetary Value (EMV) vs Monte Carlo Analysis. Synergy</w:t>
      </w:r>
      <w:r w:rsidRPr="008B7BC7">
        <w:rPr>
          <w:rFonts w:ascii="Arial" w:hAnsi="Arial" w:cs="Arial"/>
          <w:sz w:val="24"/>
          <w:szCs w:val="24"/>
        </w:rPr>
        <w:t>.</w:t>
      </w:r>
    </w:p>
    <w:p w14:paraId="773869B9" w14:textId="77777777" w:rsidR="008B7BC7" w:rsidRPr="008B7BC7" w:rsidRDefault="008B7BC7" w:rsidP="008B7BC7">
      <w:pPr>
        <w:pStyle w:val="NormalWeb"/>
        <w:numPr>
          <w:ilvl w:val="0"/>
          <w:numId w:val="13"/>
        </w:numPr>
        <w:jc w:val="both"/>
        <w:rPr>
          <w:rFonts w:ascii="Arial" w:hAnsi="Arial" w:cs="Arial"/>
          <w:color w:val="000000"/>
        </w:rPr>
      </w:pPr>
      <w:r w:rsidRPr="008B7BC7">
        <w:rPr>
          <w:rFonts w:ascii="Arial" w:hAnsi="Arial" w:cs="Arial"/>
          <w:color w:val="000000"/>
        </w:rPr>
        <w:t xml:space="preserve">Naude, M.J. and </w:t>
      </w:r>
      <w:proofErr w:type="spellStart"/>
      <w:r w:rsidRPr="008B7BC7">
        <w:rPr>
          <w:rFonts w:ascii="Arial" w:hAnsi="Arial" w:cs="Arial"/>
          <w:color w:val="000000"/>
        </w:rPr>
        <w:t>Chiweshe</w:t>
      </w:r>
      <w:proofErr w:type="spellEnd"/>
      <w:r w:rsidRPr="008B7BC7">
        <w:rPr>
          <w:rFonts w:ascii="Arial" w:hAnsi="Arial" w:cs="Arial"/>
          <w:color w:val="000000"/>
        </w:rPr>
        <w:t>, N. (2017)</w:t>
      </w:r>
      <w:r w:rsidRPr="008B7BC7">
        <w:rPr>
          <w:rStyle w:val="apple-converted-space"/>
          <w:rFonts w:ascii="Arial" w:hAnsi="Arial" w:cs="Arial"/>
          <w:color w:val="000000"/>
        </w:rPr>
        <w:t> </w:t>
      </w:r>
      <w:r w:rsidRPr="008B7BC7">
        <w:rPr>
          <w:rFonts w:ascii="Arial" w:hAnsi="Arial" w:cs="Arial"/>
          <w:i/>
          <w:iCs/>
          <w:color w:val="000000"/>
        </w:rPr>
        <w:t>A proposed operational risk management framework for small and Medium Enterprises</w:t>
      </w:r>
      <w:r w:rsidRPr="008B7BC7">
        <w:rPr>
          <w:rFonts w:ascii="Arial" w:hAnsi="Arial" w:cs="Arial"/>
          <w:color w:val="000000"/>
        </w:rPr>
        <w:t>,</w:t>
      </w:r>
      <w:r w:rsidRPr="008B7BC7">
        <w:rPr>
          <w:rStyle w:val="apple-converted-space"/>
          <w:rFonts w:ascii="Arial" w:hAnsi="Arial" w:cs="Arial"/>
          <w:color w:val="000000"/>
        </w:rPr>
        <w:t> </w:t>
      </w:r>
      <w:r w:rsidRPr="008B7BC7">
        <w:rPr>
          <w:rFonts w:ascii="Arial" w:hAnsi="Arial" w:cs="Arial"/>
          <w:i/>
          <w:iCs/>
          <w:color w:val="000000"/>
        </w:rPr>
        <w:t>South African Journal of Economic and Management Sciences</w:t>
      </w:r>
      <w:r w:rsidRPr="008B7BC7">
        <w:rPr>
          <w:rFonts w:ascii="Arial" w:hAnsi="Arial" w:cs="Arial"/>
          <w:color w:val="000000"/>
        </w:rPr>
        <w:t>. Available at: https://sajems.org/index.php/sajems/article/view/1621/983 (Accessed: 22 May 2023).</w:t>
      </w:r>
      <w:r w:rsidRPr="008B7BC7">
        <w:rPr>
          <w:rStyle w:val="apple-converted-space"/>
          <w:rFonts w:ascii="Arial" w:hAnsi="Arial" w:cs="Arial"/>
          <w:color w:val="000000"/>
        </w:rPr>
        <w:t> </w:t>
      </w:r>
    </w:p>
    <w:p w14:paraId="4A3CCB9A"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Sammut</w:t>
      </w:r>
      <w:proofErr w:type="spellEnd"/>
      <w:r w:rsidRPr="008B7BC7">
        <w:rPr>
          <w:rFonts w:ascii="Arial" w:hAnsi="Arial" w:cs="Arial"/>
          <w:color w:val="000000"/>
        </w:rPr>
        <w:t>-Bonnici, T. and Channon, D. (2015)</w:t>
      </w:r>
      <w:r w:rsidRPr="008B7BC7">
        <w:rPr>
          <w:rStyle w:val="apple-converted-space"/>
          <w:rFonts w:ascii="Arial" w:hAnsi="Arial" w:cs="Arial"/>
          <w:color w:val="000000"/>
        </w:rPr>
        <w:t> </w:t>
      </w:r>
      <w:r w:rsidRPr="008B7BC7">
        <w:rPr>
          <w:rFonts w:ascii="Arial" w:hAnsi="Arial" w:cs="Arial"/>
          <w:i/>
          <w:iCs/>
          <w:color w:val="000000"/>
        </w:rPr>
        <w:t xml:space="preserve">(PDF) pricing strategy - </w:t>
      </w:r>
      <w:proofErr w:type="spellStart"/>
      <w:r w:rsidRPr="008B7BC7">
        <w:rPr>
          <w:rFonts w:ascii="Arial" w:hAnsi="Arial" w:cs="Arial"/>
          <w:i/>
          <w:iCs/>
          <w:color w:val="000000"/>
        </w:rPr>
        <w:t>researchgate</w:t>
      </w:r>
      <w:proofErr w:type="spellEnd"/>
      <w:r w:rsidRPr="008B7BC7">
        <w:rPr>
          <w:rFonts w:ascii="Arial" w:hAnsi="Arial" w:cs="Arial"/>
          <w:color w:val="000000"/>
        </w:rPr>
        <w:t>,</w:t>
      </w:r>
      <w:r w:rsidRPr="008B7BC7">
        <w:rPr>
          <w:rStyle w:val="apple-converted-space"/>
          <w:rFonts w:ascii="Arial" w:hAnsi="Arial" w:cs="Arial"/>
          <w:color w:val="000000"/>
        </w:rPr>
        <w:t> </w:t>
      </w:r>
      <w:r w:rsidRPr="008B7BC7">
        <w:rPr>
          <w:rFonts w:ascii="Arial" w:hAnsi="Arial" w:cs="Arial"/>
          <w:i/>
          <w:iCs/>
          <w:color w:val="000000"/>
        </w:rPr>
        <w:t>https://www.researchgate.net</w:t>
      </w:r>
      <w:r w:rsidRPr="008B7BC7">
        <w:rPr>
          <w:rFonts w:ascii="Arial" w:hAnsi="Arial" w:cs="Arial"/>
          <w:color w:val="000000"/>
        </w:rPr>
        <w:t>. Available at: https://www.researchgate.net/publication/272352932_Pricing_Strategy (Accessed: 22 May 2023).</w:t>
      </w:r>
      <w:r w:rsidRPr="008B7BC7">
        <w:rPr>
          <w:rStyle w:val="apple-converted-space"/>
          <w:rFonts w:ascii="Arial" w:hAnsi="Arial" w:cs="Arial"/>
          <w:color w:val="000000"/>
        </w:rPr>
        <w:t> </w:t>
      </w:r>
    </w:p>
    <w:p w14:paraId="195BB448" w14:textId="77777777" w:rsidR="008B7BC7" w:rsidRPr="008B7BC7" w:rsidRDefault="008B7BC7" w:rsidP="008B7BC7">
      <w:pPr>
        <w:pStyle w:val="NormalWeb"/>
        <w:numPr>
          <w:ilvl w:val="0"/>
          <w:numId w:val="13"/>
        </w:numPr>
        <w:jc w:val="both"/>
        <w:rPr>
          <w:rFonts w:ascii="Arial" w:hAnsi="Arial" w:cs="Arial"/>
          <w:color w:val="000000"/>
        </w:rPr>
      </w:pPr>
      <w:r w:rsidRPr="008B7BC7">
        <w:rPr>
          <w:rFonts w:ascii="Arial" w:hAnsi="Arial" w:cs="Arial"/>
          <w:color w:val="000000"/>
        </w:rPr>
        <w:t xml:space="preserve">Ivanov, D. and </w:t>
      </w:r>
      <w:proofErr w:type="spellStart"/>
      <w:r w:rsidRPr="008B7BC7">
        <w:rPr>
          <w:rFonts w:ascii="Arial" w:hAnsi="Arial" w:cs="Arial"/>
          <w:color w:val="000000"/>
        </w:rPr>
        <w:t>Dolgui</w:t>
      </w:r>
      <w:proofErr w:type="spellEnd"/>
      <w:r w:rsidRPr="008B7BC7">
        <w:rPr>
          <w:rFonts w:ascii="Arial" w:hAnsi="Arial" w:cs="Arial"/>
          <w:color w:val="000000"/>
        </w:rPr>
        <w:t>, A. (2022)</w:t>
      </w:r>
      <w:r w:rsidRPr="008B7BC7">
        <w:rPr>
          <w:rStyle w:val="apple-converted-space"/>
          <w:rFonts w:ascii="Arial" w:hAnsi="Arial" w:cs="Arial"/>
          <w:color w:val="000000"/>
        </w:rPr>
        <w:t> </w:t>
      </w:r>
      <w:r w:rsidRPr="008B7BC7">
        <w:rPr>
          <w:rFonts w:ascii="Arial" w:hAnsi="Arial" w:cs="Arial"/>
          <w:i/>
          <w:iCs/>
          <w:color w:val="000000"/>
        </w:rPr>
        <w:t>Full article: The shortage economy and its implications for supply ...</w:t>
      </w:r>
      <w:r w:rsidRPr="008B7BC7">
        <w:rPr>
          <w:rFonts w:ascii="Arial" w:hAnsi="Arial" w:cs="Arial"/>
          <w:color w:val="000000"/>
        </w:rPr>
        <w:t>,</w:t>
      </w:r>
      <w:r w:rsidRPr="008B7BC7">
        <w:rPr>
          <w:rStyle w:val="apple-converted-space"/>
          <w:rFonts w:ascii="Arial" w:hAnsi="Arial" w:cs="Arial"/>
          <w:color w:val="000000"/>
        </w:rPr>
        <w:t> </w:t>
      </w:r>
      <w:r w:rsidRPr="008B7BC7">
        <w:rPr>
          <w:rFonts w:ascii="Arial" w:hAnsi="Arial" w:cs="Arial"/>
          <w:i/>
          <w:iCs/>
          <w:color w:val="000000"/>
        </w:rPr>
        <w:t>https://www.tandfonline.com</w:t>
      </w:r>
      <w:r w:rsidRPr="008B7BC7">
        <w:rPr>
          <w:rFonts w:ascii="Arial" w:hAnsi="Arial" w:cs="Arial"/>
          <w:color w:val="000000"/>
        </w:rPr>
        <w:t>. Available at: https://www.tandfonline.com/doi/full/10.1080/00207543.2022.2118889 (Accessed: 22 May 2023).</w:t>
      </w:r>
      <w:r w:rsidRPr="008B7BC7">
        <w:rPr>
          <w:rStyle w:val="apple-converted-space"/>
          <w:rFonts w:ascii="Arial" w:hAnsi="Arial" w:cs="Arial"/>
          <w:color w:val="000000"/>
        </w:rPr>
        <w:t> </w:t>
      </w:r>
    </w:p>
    <w:p w14:paraId="6E1FDFC2" w14:textId="77777777" w:rsidR="008B7BC7" w:rsidRPr="008B7BC7" w:rsidRDefault="008B7BC7" w:rsidP="008B7BC7">
      <w:pPr>
        <w:pStyle w:val="NormalWeb"/>
        <w:numPr>
          <w:ilvl w:val="0"/>
          <w:numId w:val="13"/>
        </w:numPr>
        <w:jc w:val="both"/>
        <w:rPr>
          <w:rFonts w:ascii="Arial" w:hAnsi="Arial" w:cs="Arial"/>
          <w:color w:val="000000"/>
        </w:rPr>
      </w:pPr>
      <w:r w:rsidRPr="008B7BC7">
        <w:rPr>
          <w:rFonts w:ascii="Arial" w:hAnsi="Arial" w:cs="Arial"/>
          <w:color w:val="000000"/>
        </w:rPr>
        <w:t>Kumar, S. and Suresh, N. (2009)</w:t>
      </w:r>
      <w:r w:rsidRPr="008B7BC7">
        <w:rPr>
          <w:rStyle w:val="apple-converted-space"/>
          <w:rFonts w:ascii="Arial" w:hAnsi="Arial" w:cs="Arial"/>
          <w:color w:val="000000"/>
        </w:rPr>
        <w:t> </w:t>
      </w:r>
      <w:r w:rsidRPr="008B7BC7">
        <w:rPr>
          <w:rFonts w:ascii="Arial" w:hAnsi="Arial" w:cs="Arial"/>
          <w:i/>
          <w:iCs/>
          <w:color w:val="000000"/>
        </w:rPr>
        <w:t xml:space="preserve">Operations </w:t>
      </w:r>
      <w:proofErr w:type="gramStart"/>
      <w:r w:rsidRPr="008B7BC7">
        <w:rPr>
          <w:rFonts w:ascii="Arial" w:hAnsi="Arial" w:cs="Arial"/>
          <w:i/>
          <w:iCs/>
          <w:color w:val="000000"/>
        </w:rPr>
        <w:t>Management </w:t>
      </w:r>
      <w:r w:rsidRPr="008B7BC7">
        <w:rPr>
          <w:rStyle w:val="apple-converted-space"/>
          <w:rFonts w:ascii="Arial" w:hAnsi="Arial" w:cs="Arial"/>
          <w:i/>
          <w:iCs/>
          <w:color w:val="000000"/>
        </w:rPr>
        <w:t> </w:t>
      </w:r>
      <w:r w:rsidRPr="008B7BC7">
        <w:rPr>
          <w:rFonts w:ascii="Arial" w:hAnsi="Arial" w:cs="Arial"/>
          <w:color w:val="000000"/>
        </w:rPr>
        <w:t>,</w:t>
      </w:r>
      <w:proofErr w:type="gramEnd"/>
      <w:r w:rsidRPr="008B7BC7">
        <w:rPr>
          <w:rStyle w:val="apple-converted-space"/>
          <w:rFonts w:ascii="Arial" w:hAnsi="Arial" w:cs="Arial"/>
          <w:color w:val="000000"/>
        </w:rPr>
        <w:t> </w:t>
      </w:r>
      <w:proofErr w:type="spellStart"/>
      <w:r w:rsidRPr="008B7BC7">
        <w:rPr>
          <w:rFonts w:ascii="Arial" w:hAnsi="Arial" w:cs="Arial"/>
          <w:i/>
          <w:iCs/>
          <w:color w:val="000000"/>
        </w:rPr>
        <w:t>DSpace</w:t>
      </w:r>
      <w:proofErr w:type="spellEnd"/>
      <w:r w:rsidRPr="008B7BC7">
        <w:rPr>
          <w:rFonts w:ascii="Arial" w:hAnsi="Arial" w:cs="Arial"/>
          <w:i/>
          <w:iCs/>
          <w:color w:val="000000"/>
        </w:rPr>
        <w:t xml:space="preserve"> at VPM’s V. N. </w:t>
      </w:r>
      <w:proofErr w:type="spellStart"/>
      <w:r w:rsidRPr="008B7BC7">
        <w:rPr>
          <w:rFonts w:ascii="Arial" w:hAnsi="Arial" w:cs="Arial"/>
          <w:i/>
          <w:iCs/>
          <w:color w:val="000000"/>
        </w:rPr>
        <w:t>Bedekar</w:t>
      </w:r>
      <w:proofErr w:type="spellEnd"/>
      <w:r w:rsidRPr="008B7BC7">
        <w:rPr>
          <w:rFonts w:ascii="Arial" w:hAnsi="Arial" w:cs="Arial"/>
          <w:i/>
          <w:iCs/>
          <w:color w:val="000000"/>
        </w:rPr>
        <w:t xml:space="preserve"> Institute of Management Studies: Home</w:t>
      </w:r>
      <w:r w:rsidRPr="008B7BC7">
        <w:rPr>
          <w:rFonts w:ascii="Arial" w:hAnsi="Arial" w:cs="Arial"/>
          <w:color w:val="000000"/>
        </w:rPr>
        <w:t>. Available at: http://dspace.vnbrims.org:13000/jspui/ (Accessed: 22 May 2023).</w:t>
      </w:r>
      <w:r w:rsidRPr="008B7BC7">
        <w:rPr>
          <w:rStyle w:val="apple-converted-space"/>
          <w:rFonts w:ascii="Arial" w:hAnsi="Arial" w:cs="Arial"/>
          <w:color w:val="000000"/>
        </w:rPr>
        <w:t> </w:t>
      </w:r>
    </w:p>
    <w:p w14:paraId="57D7F8C1"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Marget</w:t>
      </w:r>
      <w:proofErr w:type="spellEnd"/>
      <w:r w:rsidRPr="008B7BC7">
        <w:rPr>
          <w:rFonts w:ascii="Arial" w:hAnsi="Arial" w:cs="Arial"/>
          <w:color w:val="000000"/>
        </w:rPr>
        <w:t>, A. (2023)</w:t>
      </w:r>
      <w:r w:rsidRPr="008B7BC7">
        <w:rPr>
          <w:rStyle w:val="apple-converted-space"/>
          <w:rFonts w:ascii="Arial" w:hAnsi="Arial" w:cs="Arial"/>
          <w:color w:val="000000"/>
        </w:rPr>
        <w:t> </w:t>
      </w:r>
      <w:r w:rsidRPr="008B7BC7">
        <w:rPr>
          <w:rFonts w:ascii="Arial" w:hAnsi="Arial" w:cs="Arial"/>
          <w:i/>
          <w:iCs/>
          <w:color w:val="000000"/>
        </w:rPr>
        <w:t xml:space="preserve">What is a business continuity plan and how can it improve business </w:t>
      </w:r>
      <w:proofErr w:type="gramStart"/>
      <w:r w:rsidRPr="008B7BC7">
        <w:rPr>
          <w:rFonts w:ascii="Arial" w:hAnsi="Arial" w:cs="Arial"/>
          <w:i/>
          <w:iCs/>
          <w:color w:val="000000"/>
        </w:rPr>
        <w:t>resilience?</w:t>
      </w:r>
      <w:r w:rsidRPr="008B7BC7">
        <w:rPr>
          <w:rFonts w:ascii="Arial" w:hAnsi="Arial" w:cs="Arial"/>
          <w:color w:val="000000"/>
        </w:rPr>
        <w:t>,</w:t>
      </w:r>
      <w:proofErr w:type="gramEnd"/>
      <w:r w:rsidRPr="008B7BC7">
        <w:rPr>
          <w:rStyle w:val="apple-converted-space"/>
          <w:rFonts w:ascii="Arial" w:hAnsi="Arial" w:cs="Arial"/>
          <w:color w:val="000000"/>
        </w:rPr>
        <w:t> </w:t>
      </w:r>
      <w:r w:rsidRPr="008B7BC7">
        <w:rPr>
          <w:rFonts w:ascii="Arial" w:hAnsi="Arial" w:cs="Arial"/>
          <w:i/>
          <w:iCs/>
          <w:color w:val="000000"/>
        </w:rPr>
        <w:t>Unitrends.com</w:t>
      </w:r>
      <w:r w:rsidRPr="008B7BC7">
        <w:rPr>
          <w:rFonts w:ascii="Arial" w:hAnsi="Arial" w:cs="Arial"/>
          <w:color w:val="000000"/>
        </w:rPr>
        <w:t>. Available at: https://www.unitrends.com/blog/business-continuity-plan (Accessed: 22 May 2023).</w:t>
      </w:r>
      <w:r w:rsidRPr="008B7BC7">
        <w:rPr>
          <w:rStyle w:val="apple-converted-space"/>
          <w:rFonts w:ascii="Arial" w:hAnsi="Arial" w:cs="Arial"/>
          <w:color w:val="000000"/>
        </w:rPr>
        <w:t> </w:t>
      </w:r>
    </w:p>
    <w:p w14:paraId="136EF7E1" w14:textId="77777777" w:rsidR="008B7BC7" w:rsidRPr="008B7BC7" w:rsidRDefault="008B7BC7" w:rsidP="008B7BC7">
      <w:pPr>
        <w:pStyle w:val="ListParagraph"/>
        <w:spacing w:line="276" w:lineRule="auto"/>
        <w:jc w:val="both"/>
        <w:rPr>
          <w:rFonts w:ascii="Arial" w:hAnsi="Arial" w:cs="Arial"/>
          <w:sz w:val="24"/>
          <w:szCs w:val="24"/>
        </w:rPr>
      </w:pPr>
    </w:p>
    <w:p w14:paraId="23283E91"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Hamadah</w:t>
      </w:r>
      <w:proofErr w:type="spellEnd"/>
      <w:r w:rsidRPr="008B7BC7">
        <w:rPr>
          <w:rFonts w:ascii="Arial" w:hAnsi="Arial" w:cs="Arial"/>
          <w:color w:val="000000"/>
        </w:rPr>
        <w:t xml:space="preserve">, S. and </w:t>
      </w:r>
      <w:proofErr w:type="spellStart"/>
      <w:r w:rsidRPr="008B7BC7">
        <w:rPr>
          <w:rFonts w:ascii="Arial" w:hAnsi="Arial" w:cs="Arial"/>
          <w:color w:val="000000"/>
        </w:rPr>
        <w:t>Aqel</w:t>
      </w:r>
      <w:proofErr w:type="spellEnd"/>
      <w:r w:rsidRPr="008B7BC7">
        <w:rPr>
          <w:rFonts w:ascii="Arial" w:hAnsi="Arial" w:cs="Arial"/>
          <w:color w:val="000000"/>
        </w:rPr>
        <w:t>, D. (2019)</w:t>
      </w:r>
      <w:r w:rsidRPr="008B7BC7">
        <w:rPr>
          <w:rStyle w:val="apple-converted-space"/>
          <w:rFonts w:ascii="Arial" w:hAnsi="Arial" w:cs="Arial"/>
          <w:color w:val="000000"/>
        </w:rPr>
        <w:t> </w:t>
      </w:r>
      <w:r w:rsidRPr="008B7BC7">
        <w:rPr>
          <w:rFonts w:ascii="Arial" w:hAnsi="Arial" w:cs="Arial"/>
          <w:i/>
          <w:iCs/>
          <w:color w:val="000000"/>
        </w:rPr>
        <w:t>Proposed virtual private cloud-based Disaster Recovery Strategy</w:t>
      </w:r>
      <w:r w:rsidRPr="008B7BC7">
        <w:rPr>
          <w:rFonts w:ascii="Arial" w:hAnsi="Arial" w:cs="Arial"/>
          <w:color w:val="000000"/>
        </w:rPr>
        <w:t>,</w:t>
      </w:r>
      <w:r w:rsidRPr="008B7BC7">
        <w:rPr>
          <w:rStyle w:val="apple-converted-space"/>
          <w:rFonts w:ascii="Arial" w:hAnsi="Arial" w:cs="Arial"/>
          <w:color w:val="000000"/>
        </w:rPr>
        <w:t> </w:t>
      </w:r>
      <w:r w:rsidRPr="008B7BC7">
        <w:rPr>
          <w:rFonts w:ascii="Arial" w:hAnsi="Arial" w:cs="Arial"/>
          <w:i/>
          <w:iCs/>
          <w:color w:val="000000"/>
        </w:rPr>
        <w:t>https://www.researchgate.net</w:t>
      </w:r>
      <w:r w:rsidRPr="008B7BC7">
        <w:rPr>
          <w:rFonts w:ascii="Arial" w:hAnsi="Arial" w:cs="Arial"/>
          <w:color w:val="000000"/>
        </w:rPr>
        <w:t>. Available at: https://www.researchgate.net/profile/Darah-Aqel/publication/333229207_A_Proposed_Virtual_Private_Cloud-Based_Disaster_Recovery_Strategy/links/5cee80f992851c53956fe5fa/A-Proposed-Virtual-Private-Cloud-Based-Disaster-Recovery-Strategy.pdf?origin=publication_detail (Accessed: 22 May 2023).</w:t>
      </w:r>
      <w:r w:rsidRPr="008B7BC7">
        <w:rPr>
          <w:rStyle w:val="apple-converted-space"/>
          <w:rFonts w:ascii="Arial" w:hAnsi="Arial" w:cs="Arial"/>
          <w:color w:val="000000"/>
        </w:rPr>
        <w:t> </w:t>
      </w:r>
    </w:p>
    <w:p w14:paraId="59F5139F"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sz w:val="24"/>
          <w:szCs w:val="24"/>
        </w:rPr>
        <w:t>VMware (2022). What is Disaster Recovery as a Service (</w:t>
      </w:r>
      <w:proofErr w:type="spellStart"/>
      <w:r w:rsidRPr="008B7BC7">
        <w:rPr>
          <w:rFonts w:ascii="Arial" w:hAnsi="Arial" w:cs="Arial"/>
          <w:sz w:val="24"/>
          <w:szCs w:val="24"/>
        </w:rPr>
        <w:t>DRaaS</w:t>
      </w:r>
      <w:proofErr w:type="spellEnd"/>
      <w:r w:rsidRPr="008B7BC7">
        <w:rPr>
          <w:rFonts w:ascii="Arial" w:hAnsi="Arial" w:cs="Arial"/>
          <w:sz w:val="24"/>
          <w:szCs w:val="24"/>
        </w:rPr>
        <w:t xml:space="preserve">)? | VMware Glossary. [online] VMware. Available at: </w:t>
      </w:r>
      <w:r w:rsidRPr="008B7BC7">
        <w:rPr>
          <w:rFonts w:ascii="Arial" w:hAnsi="Arial" w:cs="Arial"/>
          <w:sz w:val="24"/>
          <w:szCs w:val="24"/>
        </w:rPr>
        <w:lastRenderedPageBreak/>
        <w:t>https://www.vmware.com/topics/glossary/content/disaster-recovery-service-draas.html.</w:t>
      </w:r>
    </w:p>
    <w:p w14:paraId="29FE9786"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sz w:val="24"/>
          <w:szCs w:val="24"/>
        </w:rPr>
        <w:t>Cloud4C. (n.d.). </w:t>
      </w:r>
      <w:r w:rsidRPr="008B7BC7">
        <w:rPr>
          <w:rFonts w:ascii="Arial" w:hAnsi="Arial" w:cs="Arial"/>
          <w:i/>
          <w:iCs/>
          <w:sz w:val="24"/>
          <w:szCs w:val="24"/>
        </w:rPr>
        <w:t>Azure Disaster Recovery | Azure DR &amp; BCP</w:t>
      </w:r>
      <w:r w:rsidRPr="008B7BC7">
        <w:rPr>
          <w:rFonts w:ascii="Arial" w:hAnsi="Arial" w:cs="Arial"/>
          <w:sz w:val="24"/>
          <w:szCs w:val="24"/>
        </w:rPr>
        <w:t>. [online] Available at: https://www.cloud4c.com/azure-cloud-services/azure-draas#:~:text=Azure%20Disaster%20Recovery%20as%20a [Accessed 21 May 2023].</w:t>
      </w:r>
    </w:p>
    <w:p w14:paraId="2707C493"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Mesevage</w:t>
      </w:r>
      <w:proofErr w:type="spellEnd"/>
      <w:r w:rsidRPr="008B7BC7">
        <w:rPr>
          <w:rFonts w:ascii="Arial" w:hAnsi="Arial" w:cs="Arial"/>
          <w:color w:val="000000"/>
        </w:rPr>
        <w:t>, T.G. (2022)</w:t>
      </w:r>
      <w:r w:rsidRPr="008B7BC7">
        <w:rPr>
          <w:rStyle w:val="apple-converted-space"/>
          <w:rFonts w:ascii="Arial" w:hAnsi="Arial" w:cs="Arial"/>
          <w:color w:val="000000"/>
        </w:rPr>
        <w:t> </w:t>
      </w:r>
      <w:r w:rsidRPr="008B7BC7">
        <w:rPr>
          <w:rFonts w:ascii="Arial" w:hAnsi="Arial" w:cs="Arial"/>
          <w:i/>
          <w:iCs/>
          <w:color w:val="000000"/>
        </w:rPr>
        <w:t>The importance of RPO and RTO</w:t>
      </w:r>
      <w:r w:rsidRPr="008B7BC7">
        <w:rPr>
          <w:rFonts w:ascii="Arial" w:hAnsi="Arial" w:cs="Arial"/>
          <w:color w:val="000000"/>
        </w:rPr>
        <w:t>,</w:t>
      </w:r>
      <w:r w:rsidRPr="008B7BC7">
        <w:rPr>
          <w:rStyle w:val="apple-converted-space"/>
          <w:rFonts w:ascii="Arial" w:hAnsi="Arial" w:cs="Arial"/>
          <w:color w:val="000000"/>
        </w:rPr>
        <w:t> </w:t>
      </w:r>
      <w:r w:rsidRPr="008B7BC7">
        <w:rPr>
          <w:rFonts w:ascii="Arial" w:hAnsi="Arial" w:cs="Arial"/>
          <w:i/>
          <w:iCs/>
          <w:color w:val="000000"/>
        </w:rPr>
        <w:t>Datto Backup Solutions Provider</w:t>
      </w:r>
      <w:r w:rsidRPr="008B7BC7">
        <w:rPr>
          <w:rFonts w:ascii="Arial" w:hAnsi="Arial" w:cs="Arial"/>
          <w:color w:val="000000"/>
        </w:rPr>
        <w:t>. Available at: https://www.datto.com/uk/blog/the-importance-of-rpo-and-rto (Accessed: 22 May 2023).</w:t>
      </w:r>
      <w:r w:rsidRPr="008B7BC7">
        <w:rPr>
          <w:rStyle w:val="apple-converted-space"/>
          <w:rFonts w:ascii="Arial" w:hAnsi="Arial" w:cs="Arial"/>
          <w:color w:val="000000"/>
        </w:rPr>
        <w:t> </w:t>
      </w:r>
    </w:p>
    <w:p w14:paraId="700D0D85"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sz w:val="24"/>
          <w:szCs w:val="24"/>
        </w:rPr>
        <w:t>Cloud4C. (n.d.). </w:t>
      </w:r>
      <w:r w:rsidRPr="008B7BC7">
        <w:rPr>
          <w:rFonts w:ascii="Arial" w:hAnsi="Arial" w:cs="Arial"/>
          <w:i/>
          <w:iCs/>
          <w:sz w:val="24"/>
          <w:szCs w:val="24"/>
        </w:rPr>
        <w:t>Azure Disaster Recovery | Azure DR &amp; BCP</w:t>
      </w:r>
      <w:r w:rsidRPr="008B7BC7">
        <w:rPr>
          <w:rFonts w:ascii="Arial" w:hAnsi="Arial" w:cs="Arial"/>
          <w:sz w:val="24"/>
          <w:szCs w:val="24"/>
        </w:rPr>
        <w:t>. [online] Available at: https://www.cloud4c.com/azure-cloud-services/azure-draas#:~:text=Azure%20Disaster%20Recovery%20as%20a [Accessed 21 May 2023].</w:t>
      </w:r>
    </w:p>
    <w:p w14:paraId="3FCCAA84"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sz w:val="24"/>
          <w:szCs w:val="24"/>
        </w:rPr>
        <w:t>VMware (2022). What is Disaster Recovery as a Service (</w:t>
      </w:r>
      <w:proofErr w:type="spellStart"/>
      <w:r w:rsidRPr="008B7BC7">
        <w:rPr>
          <w:rFonts w:ascii="Arial" w:hAnsi="Arial" w:cs="Arial"/>
          <w:sz w:val="24"/>
          <w:szCs w:val="24"/>
        </w:rPr>
        <w:t>DRaaS</w:t>
      </w:r>
      <w:proofErr w:type="spellEnd"/>
      <w:r w:rsidRPr="008B7BC7">
        <w:rPr>
          <w:rFonts w:ascii="Arial" w:hAnsi="Arial" w:cs="Arial"/>
          <w:sz w:val="24"/>
          <w:szCs w:val="24"/>
        </w:rPr>
        <w:t>)? | VMware Glossary. [online] VMware. Available at: https://www.vmware.com/topics/glossary/content/disaster-recovery-service-draas.html.</w:t>
      </w:r>
    </w:p>
    <w:p w14:paraId="29B665E4" w14:textId="77777777" w:rsidR="008B7BC7" w:rsidRPr="008B7BC7" w:rsidRDefault="008B7BC7" w:rsidP="008B7BC7">
      <w:pPr>
        <w:pStyle w:val="ListParagraph"/>
        <w:numPr>
          <w:ilvl w:val="0"/>
          <w:numId w:val="13"/>
        </w:numPr>
        <w:spacing w:line="276" w:lineRule="auto"/>
        <w:jc w:val="both"/>
        <w:rPr>
          <w:rFonts w:ascii="Arial" w:hAnsi="Arial" w:cs="Arial"/>
          <w:sz w:val="24"/>
          <w:szCs w:val="24"/>
        </w:rPr>
      </w:pPr>
      <w:r w:rsidRPr="008B7BC7">
        <w:rPr>
          <w:rFonts w:ascii="Arial" w:hAnsi="Arial" w:cs="Arial"/>
          <w:sz w:val="24"/>
          <w:szCs w:val="24"/>
        </w:rPr>
        <w:t xml:space="preserve">Reed, J. (2019). Comparison Of Disaster Recovery Sites: Which one to Choose? [online] </w:t>
      </w:r>
      <w:proofErr w:type="spellStart"/>
      <w:r w:rsidRPr="008B7BC7">
        <w:rPr>
          <w:rFonts w:ascii="Arial" w:hAnsi="Arial" w:cs="Arial"/>
          <w:sz w:val="24"/>
          <w:szCs w:val="24"/>
        </w:rPr>
        <w:t>Nakivo</w:t>
      </w:r>
      <w:proofErr w:type="spellEnd"/>
      <w:r w:rsidRPr="008B7BC7">
        <w:rPr>
          <w:rFonts w:ascii="Arial" w:hAnsi="Arial" w:cs="Arial"/>
          <w:sz w:val="24"/>
          <w:szCs w:val="24"/>
        </w:rPr>
        <w:t>. Available at: https://www.nakivo.com/blog/overview-disaster-recovery-sites/.</w:t>
      </w:r>
    </w:p>
    <w:p w14:paraId="556FB0CC" w14:textId="77777777" w:rsidR="008B7BC7" w:rsidRPr="008B7BC7" w:rsidRDefault="008B7BC7" w:rsidP="008B7BC7">
      <w:pPr>
        <w:pStyle w:val="ListParagraph"/>
        <w:numPr>
          <w:ilvl w:val="0"/>
          <w:numId w:val="13"/>
        </w:numPr>
        <w:spacing w:line="276" w:lineRule="auto"/>
        <w:jc w:val="both"/>
        <w:rPr>
          <w:rFonts w:ascii="Arial" w:hAnsi="Arial" w:cs="Arial"/>
          <w:b/>
          <w:bCs/>
          <w:sz w:val="24"/>
          <w:szCs w:val="24"/>
        </w:rPr>
      </w:pPr>
      <w:r w:rsidRPr="008B7BC7">
        <w:rPr>
          <w:rFonts w:ascii="Arial" w:hAnsi="Arial" w:cs="Arial"/>
          <w:b/>
          <w:bCs/>
          <w:sz w:val="24"/>
          <w:szCs w:val="24"/>
        </w:rPr>
        <w:t>Lopez, J., Moreno, V. and Tous, R. (2019). Vendor lock-in in cloud computing: A comprehensive literature review. Journal of Systems and Software, 157, p.110401.</w:t>
      </w:r>
    </w:p>
    <w:p w14:paraId="38DE5B33" w14:textId="77777777" w:rsidR="008B7BC7" w:rsidRPr="008B7BC7" w:rsidRDefault="008B7BC7" w:rsidP="008B7BC7">
      <w:pPr>
        <w:pStyle w:val="NormalWeb"/>
        <w:numPr>
          <w:ilvl w:val="0"/>
          <w:numId w:val="13"/>
        </w:numPr>
        <w:jc w:val="both"/>
        <w:rPr>
          <w:rFonts w:ascii="Arial" w:hAnsi="Arial" w:cs="Arial"/>
          <w:color w:val="000000"/>
        </w:rPr>
      </w:pPr>
      <w:proofErr w:type="spellStart"/>
      <w:r w:rsidRPr="008B7BC7">
        <w:rPr>
          <w:rFonts w:ascii="Arial" w:hAnsi="Arial" w:cs="Arial"/>
          <w:color w:val="000000"/>
        </w:rPr>
        <w:t>Opara</w:t>
      </w:r>
      <w:proofErr w:type="spellEnd"/>
      <w:r w:rsidRPr="008B7BC7">
        <w:rPr>
          <w:rFonts w:ascii="Arial" w:hAnsi="Arial" w:cs="Arial"/>
          <w:color w:val="000000"/>
        </w:rPr>
        <w:t xml:space="preserve">-Martins, J., </w:t>
      </w:r>
      <w:proofErr w:type="spellStart"/>
      <w:r w:rsidRPr="008B7BC7">
        <w:rPr>
          <w:rFonts w:ascii="Arial" w:hAnsi="Arial" w:cs="Arial"/>
          <w:color w:val="000000"/>
        </w:rPr>
        <w:t>Sahandi</w:t>
      </w:r>
      <w:proofErr w:type="spellEnd"/>
      <w:r w:rsidRPr="008B7BC7">
        <w:rPr>
          <w:rFonts w:ascii="Arial" w:hAnsi="Arial" w:cs="Arial"/>
          <w:color w:val="000000"/>
        </w:rPr>
        <w:t>, R. and Tian, F. (2016)</w:t>
      </w:r>
      <w:r w:rsidRPr="008B7BC7">
        <w:rPr>
          <w:rStyle w:val="apple-converted-space"/>
          <w:rFonts w:ascii="Arial" w:hAnsi="Arial" w:cs="Arial"/>
          <w:color w:val="000000"/>
        </w:rPr>
        <w:t> </w:t>
      </w:r>
      <w:r w:rsidRPr="008B7BC7">
        <w:rPr>
          <w:rFonts w:ascii="Arial" w:hAnsi="Arial" w:cs="Arial"/>
          <w:i/>
          <w:iCs/>
          <w:color w:val="000000"/>
        </w:rPr>
        <w:t>Critical analysis of Vendor Lock-in and its impact on cloud computing migration: A Business Perspective - Journal of Cloud Computing</w:t>
      </w:r>
      <w:r w:rsidRPr="008B7BC7">
        <w:rPr>
          <w:rFonts w:ascii="Arial" w:hAnsi="Arial" w:cs="Arial"/>
          <w:color w:val="000000"/>
        </w:rPr>
        <w:t>,</w:t>
      </w:r>
      <w:r w:rsidRPr="008B7BC7">
        <w:rPr>
          <w:rStyle w:val="apple-converted-space"/>
          <w:rFonts w:ascii="Arial" w:hAnsi="Arial" w:cs="Arial"/>
          <w:color w:val="000000"/>
        </w:rPr>
        <w:t> </w:t>
      </w:r>
      <w:proofErr w:type="spellStart"/>
      <w:r w:rsidRPr="008B7BC7">
        <w:rPr>
          <w:rFonts w:ascii="Arial" w:hAnsi="Arial" w:cs="Arial"/>
          <w:i/>
          <w:iCs/>
          <w:color w:val="000000"/>
        </w:rPr>
        <w:t>SpringerOpen</w:t>
      </w:r>
      <w:proofErr w:type="spellEnd"/>
      <w:r w:rsidRPr="008B7BC7">
        <w:rPr>
          <w:rFonts w:ascii="Arial" w:hAnsi="Arial" w:cs="Arial"/>
          <w:color w:val="000000"/>
        </w:rPr>
        <w:t>. Available at: https://journalofcloudcomputing.springeropen.com/articles/10.1186/s13677-016-0054-z (Accessed: 22 May 2023).</w:t>
      </w:r>
      <w:r w:rsidRPr="008B7BC7">
        <w:rPr>
          <w:rStyle w:val="apple-converted-space"/>
          <w:rFonts w:ascii="Arial" w:hAnsi="Arial" w:cs="Arial"/>
          <w:color w:val="000000"/>
        </w:rPr>
        <w:t> </w:t>
      </w:r>
    </w:p>
    <w:p w14:paraId="7C41C37C" w14:textId="77777777" w:rsidR="00441326" w:rsidRPr="007538A9" w:rsidRDefault="00441326" w:rsidP="00F71614">
      <w:pPr>
        <w:spacing w:line="480" w:lineRule="auto"/>
        <w:jc w:val="both"/>
        <w:rPr>
          <w:rFonts w:ascii="Arial" w:hAnsi="Arial" w:cs="Arial"/>
          <w:sz w:val="24"/>
          <w:szCs w:val="24"/>
        </w:rPr>
      </w:pPr>
    </w:p>
    <w:sectPr w:rsidR="00441326" w:rsidRPr="007538A9" w:rsidSect="002A2741">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B5F8" w14:textId="77777777" w:rsidR="00645B0B" w:rsidRDefault="00645B0B" w:rsidP="00BF6E74">
      <w:pPr>
        <w:spacing w:after="0" w:line="240" w:lineRule="auto"/>
      </w:pPr>
      <w:r>
        <w:separator/>
      </w:r>
    </w:p>
  </w:endnote>
  <w:endnote w:type="continuationSeparator" w:id="0">
    <w:p w14:paraId="60BF68A8" w14:textId="77777777" w:rsidR="00645B0B" w:rsidRDefault="00645B0B" w:rsidP="00BF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513865"/>
      <w:docPartObj>
        <w:docPartGallery w:val="Page Numbers (Bottom of Page)"/>
        <w:docPartUnique/>
      </w:docPartObj>
    </w:sdtPr>
    <w:sdtEndPr>
      <w:rPr>
        <w:noProof/>
      </w:rPr>
    </w:sdtEndPr>
    <w:sdtContent>
      <w:p w14:paraId="090C1152" w14:textId="1658D17F" w:rsidR="00BF6E74" w:rsidRDefault="00BF6E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5A0A7" w14:textId="77777777" w:rsidR="00BF6E74" w:rsidRDefault="00BF6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CF29" w14:textId="77777777" w:rsidR="00645B0B" w:rsidRDefault="00645B0B" w:rsidP="00BF6E74">
      <w:pPr>
        <w:spacing w:after="0" w:line="240" w:lineRule="auto"/>
      </w:pPr>
      <w:r>
        <w:separator/>
      </w:r>
    </w:p>
  </w:footnote>
  <w:footnote w:type="continuationSeparator" w:id="0">
    <w:p w14:paraId="7B49626A" w14:textId="77777777" w:rsidR="00645B0B" w:rsidRDefault="00645B0B" w:rsidP="00BF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79C"/>
    <w:multiLevelType w:val="hybridMultilevel"/>
    <w:tmpl w:val="FBD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82D49"/>
    <w:multiLevelType w:val="hybridMultilevel"/>
    <w:tmpl w:val="53DA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D3CE6"/>
    <w:multiLevelType w:val="hybridMultilevel"/>
    <w:tmpl w:val="465E083A"/>
    <w:lvl w:ilvl="0" w:tplc="18C478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03D98"/>
    <w:multiLevelType w:val="hybridMultilevel"/>
    <w:tmpl w:val="482A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E346A"/>
    <w:multiLevelType w:val="hybridMultilevel"/>
    <w:tmpl w:val="A9665394"/>
    <w:lvl w:ilvl="0" w:tplc="ED2AF214">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6D140DE"/>
    <w:multiLevelType w:val="hybridMultilevel"/>
    <w:tmpl w:val="3B940466"/>
    <w:lvl w:ilvl="0" w:tplc="79FC4A5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9D2092"/>
    <w:multiLevelType w:val="hybridMultilevel"/>
    <w:tmpl w:val="7C728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AF04F2E"/>
    <w:multiLevelType w:val="hybridMultilevel"/>
    <w:tmpl w:val="7FCADCD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974FFA"/>
    <w:multiLevelType w:val="hybridMultilevel"/>
    <w:tmpl w:val="F73C54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0902FF"/>
    <w:multiLevelType w:val="hybridMultilevel"/>
    <w:tmpl w:val="B7F4B1D4"/>
    <w:lvl w:ilvl="0" w:tplc="2D662E4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8F05989"/>
    <w:multiLevelType w:val="hybridMultilevel"/>
    <w:tmpl w:val="F4EECEB8"/>
    <w:lvl w:ilvl="0" w:tplc="E21605C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13E09C0"/>
    <w:multiLevelType w:val="hybridMultilevel"/>
    <w:tmpl w:val="53E299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C676FF"/>
    <w:multiLevelType w:val="hybridMultilevel"/>
    <w:tmpl w:val="2C648278"/>
    <w:lvl w:ilvl="0" w:tplc="64323C7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3B13AB5"/>
    <w:multiLevelType w:val="hybridMultilevel"/>
    <w:tmpl w:val="C824C49C"/>
    <w:lvl w:ilvl="0" w:tplc="2D522E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35B6C"/>
    <w:multiLevelType w:val="multilevel"/>
    <w:tmpl w:val="F92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A52D2"/>
    <w:multiLevelType w:val="hybridMultilevel"/>
    <w:tmpl w:val="0F987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BD87988"/>
    <w:multiLevelType w:val="hybridMultilevel"/>
    <w:tmpl w:val="9D369036"/>
    <w:lvl w:ilvl="0" w:tplc="CDCA5E5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2A7A9F"/>
    <w:multiLevelType w:val="hybridMultilevel"/>
    <w:tmpl w:val="F986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3226F"/>
    <w:multiLevelType w:val="hybridMultilevel"/>
    <w:tmpl w:val="3F90CAE4"/>
    <w:lvl w:ilvl="0" w:tplc="1DC6AF38">
      <w:start w:val="1"/>
      <w:numFmt w:val="upperLetter"/>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5E13E7"/>
    <w:multiLevelType w:val="hybridMultilevel"/>
    <w:tmpl w:val="F8FA51F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8746044">
    <w:abstractNumId w:val="1"/>
  </w:num>
  <w:num w:numId="2" w16cid:durableId="1139298106">
    <w:abstractNumId w:val="14"/>
  </w:num>
  <w:num w:numId="3" w16cid:durableId="1240485529">
    <w:abstractNumId w:val="19"/>
  </w:num>
  <w:num w:numId="4" w16cid:durableId="1451583193">
    <w:abstractNumId w:val="13"/>
  </w:num>
  <w:num w:numId="5" w16cid:durableId="1587763915">
    <w:abstractNumId w:val="11"/>
  </w:num>
  <w:num w:numId="6" w16cid:durableId="1517814095">
    <w:abstractNumId w:val="4"/>
  </w:num>
  <w:num w:numId="7" w16cid:durableId="1712993735">
    <w:abstractNumId w:val="12"/>
  </w:num>
  <w:num w:numId="8" w16cid:durableId="1562909162">
    <w:abstractNumId w:val="10"/>
  </w:num>
  <w:num w:numId="9" w16cid:durableId="1603414751">
    <w:abstractNumId w:val="9"/>
  </w:num>
  <w:num w:numId="10" w16cid:durableId="510991442">
    <w:abstractNumId w:val="5"/>
  </w:num>
  <w:num w:numId="11" w16cid:durableId="1459225932">
    <w:abstractNumId w:val="16"/>
  </w:num>
  <w:num w:numId="12" w16cid:durableId="1672564694">
    <w:abstractNumId w:val="2"/>
  </w:num>
  <w:num w:numId="13" w16cid:durableId="541291006">
    <w:abstractNumId w:val="17"/>
  </w:num>
  <w:num w:numId="14" w16cid:durableId="1045911748">
    <w:abstractNumId w:val="3"/>
  </w:num>
  <w:num w:numId="15" w16cid:durableId="947542494">
    <w:abstractNumId w:val="15"/>
  </w:num>
  <w:num w:numId="16" w16cid:durableId="1156529540">
    <w:abstractNumId w:val="6"/>
  </w:num>
  <w:num w:numId="17" w16cid:durableId="1557203589">
    <w:abstractNumId w:val="8"/>
  </w:num>
  <w:num w:numId="18" w16cid:durableId="741371988">
    <w:abstractNumId w:val="0"/>
  </w:num>
  <w:num w:numId="19" w16cid:durableId="1516190958">
    <w:abstractNumId w:val="7"/>
  </w:num>
  <w:num w:numId="20" w16cid:durableId="9265729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26"/>
    <w:rsid w:val="000452AF"/>
    <w:rsid w:val="0006039D"/>
    <w:rsid w:val="000C3EFB"/>
    <w:rsid w:val="001146DD"/>
    <w:rsid w:val="0011523B"/>
    <w:rsid w:val="0015552C"/>
    <w:rsid w:val="00193FA6"/>
    <w:rsid w:val="001C0757"/>
    <w:rsid w:val="001C37C2"/>
    <w:rsid w:val="001D3452"/>
    <w:rsid w:val="001E0D8E"/>
    <w:rsid w:val="001F7CFE"/>
    <w:rsid w:val="00243989"/>
    <w:rsid w:val="00284384"/>
    <w:rsid w:val="00287FD1"/>
    <w:rsid w:val="002A2741"/>
    <w:rsid w:val="002A7371"/>
    <w:rsid w:val="00302E1A"/>
    <w:rsid w:val="00314404"/>
    <w:rsid w:val="003451AB"/>
    <w:rsid w:val="0035412A"/>
    <w:rsid w:val="003A5BF5"/>
    <w:rsid w:val="003B32C8"/>
    <w:rsid w:val="00403484"/>
    <w:rsid w:val="00441326"/>
    <w:rsid w:val="0046423A"/>
    <w:rsid w:val="00484640"/>
    <w:rsid w:val="004945FC"/>
    <w:rsid w:val="004D2972"/>
    <w:rsid w:val="005975C8"/>
    <w:rsid w:val="00610AB1"/>
    <w:rsid w:val="00645B0B"/>
    <w:rsid w:val="00655F0E"/>
    <w:rsid w:val="006A7E2C"/>
    <w:rsid w:val="006C2E3B"/>
    <w:rsid w:val="006C4B04"/>
    <w:rsid w:val="006E0C8F"/>
    <w:rsid w:val="006F23EB"/>
    <w:rsid w:val="00715C2A"/>
    <w:rsid w:val="007473F2"/>
    <w:rsid w:val="007538A9"/>
    <w:rsid w:val="0077479F"/>
    <w:rsid w:val="00785DD4"/>
    <w:rsid w:val="0079055C"/>
    <w:rsid w:val="007A4F1A"/>
    <w:rsid w:val="007F54D2"/>
    <w:rsid w:val="00847308"/>
    <w:rsid w:val="0087435B"/>
    <w:rsid w:val="00891125"/>
    <w:rsid w:val="008B7BC7"/>
    <w:rsid w:val="008C16E8"/>
    <w:rsid w:val="008E6847"/>
    <w:rsid w:val="008F21D8"/>
    <w:rsid w:val="00905216"/>
    <w:rsid w:val="00907E69"/>
    <w:rsid w:val="00954062"/>
    <w:rsid w:val="00997C56"/>
    <w:rsid w:val="00A10CB3"/>
    <w:rsid w:val="00A24219"/>
    <w:rsid w:val="00AC3743"/>
    <w:rsid w:val="00AD5EB2"/>
    <w:rsid w:val="00AF50FA"/>
    <w:rsid w:val="00B02ADD"/>
    <w:rsid w:val="00B0451A"/>
    <w:rsid w:val="00B15378"/>
    <w:rsid w:val="00BD00B3"/>
    <w:rsid w:val="00BD081F"/>
    <w:rsid w:val="00BF6E74"/>
    <w:rsid w:val="00C254DC"/>
    <w:rsid w:val="00C769FB"/>
    <w:rsid w:val="00CB616A"/>
    <w:rsid w:val="00CC3EF3"/>
    <w:rsid w:val="00D02410"/>
    <w:rsid w:val="00D151B0"/>
    <w:rsid w:val="00D40D40"/>
    <w:rsid w:val="00D60B92"/>
    <w:rsid w:val="00D93E3B"/>
    <w:rsid w:val="00DA1550"/>
    <w:rsid w:val="00DA1FE4"/>
    <w:rsid w:val="00DC433B"/>
    <w:rsid w:val="00E70225"/>
    <w:rsid w:val="00E72B51"/>
    <w:rsid w:val="00E7622E"/>
    <w:rsid w:val="00F41535"/>
    <w:rsid w:val="00F53D1E"/>
    <w:rsid w:val="00F62C41"/>
    <w:rsid w:val="00F71614"/>
    <w:rsid w:val="00F94263"/>
    <w:rsid w:val="00FA7335"/>
    <w:rsid w:val="00FB72C8"/>
    <w:rsid w:val="00FC7B77"/>
    <w:rsid w:val="00FE3F84"/>
    <w:rsid w:val="00FF2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AE901"/>
  <w15:chartTrackingRefBased/>
  <w15:docId w15:val="{5259607B-7A7D-4235-B321-1EEBA56F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3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753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85DD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26"/>
    <w:pPr>
      <w:ind w:left="720"/>
      <w:contextualSpacing/>
    </w:pPr>
  </w:style>
  <w:style w:type="character" w:styleId="Hyperlink">
    <w:name w:val="Hyperlink"/>
    <w:basedOn w:val="DefaultParagraphFont"/>
    <w:uiPriority w:val="99"/>
    <w:unhideWhenUsed/>
    <w:rsid w:val="00441326"/>
    <w:rPr>
      <w:color w:val="0563C1" w:themeColor="hyperlink"/>
      <w:u w:val="single"/>
    </w:rPr>
  </w:style>
  <w:style w:type="character" w:styleId="UnresolvedMention">
    <w:name w:val="Unresolved Mention"/>
    <w:basedOn w:val="DefaultParagraphFont"/>
    <w:uiPriority w:val="99"/>
    <w:semiHidden/>
    <w:unhideWhenUsed/>
    <w:rsid w:val="00441326"/>
    <w:rPr>
      <w:color w:val="605E5C"/>
      <w:shd w:val="clear" w:color="auto" w:fill="E1DFDD"/>
    </w:rPr>
  </w:style>
  <w:style w:type="paragraph" w:styleId="NormalWeb">
    <w:name w:val="Normal (Web)"/>
    <w:basedOn w:val="Normal"/>
    <w:uiPriority w:val="99"/>
    <w:unhideWhenUsed/>
    <w:rsid w:val="0044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785DD4"/>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78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423A"/>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6423A"/>
  </w:style>
  <w:style w:type="character" w:customStyle="1" w:styleId="Heading2Char">
    <w:name w:val="Heading 2 Char"/>
    <w:basedOn w:val="DefaultParagraphFont"/>
    <w:link w:val="Heading2"/>
    <w:uiPriority w:val="9"/>
    <w:rsid w:val="007538A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6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74"/>
  </w:style>
  <w:style w:type="paragraph" w:styleId="Footer">
    <w:name w:val="footer"/>
    <w:basedOn w:val="Normal"/>
    <w:link w:val="FooterChar"/>
    <w:uiPriority w:val="99"/>
    <w:unhideWhenUsed/>
    <w:rsid w:val="00BF6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74"/>
  </w:style>
  <w:style w:type="character" w:customStyle="1" w:styleId="apple-converted-space">
    <w:name w:val="apple-converted-space"/>
    <w:basedOn w:val="DefaultParagraphFont"/>
    <w:rsid w:val="008B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641">
      <w:bodyDiv w:val="1"/>
      <w:marLeft w:val="0"/>
      <w:marRight w:val="0"/>
      <w:marTop w:val="0"/>
      <w:marBottom w:val="0"/>
      <w:divBdr>
        <w:top w:val="none" w:sz="0" w:space="0" w:color="auto"/>
        <w:left w:val="none" w:sz="0" w:space="0" w:color="auto"/>
        <w:bottom w:val="none" w:sz="0" w:space="0" w:color="auto"/>
        <w:right w:val="none" w:sz="0" w:space="0" w:color="auto"/>
      </w:divBdr>
    </w:div>
    <w:div w:id="179440505">
      <w:bodyDiv w:val="1"/>
      <w:marLeft w:val="0"/>
      <w:marRight w:val="0"/>
      <w:marTop w:val="0"/>
      <w:marBottom w:val="0"/>
      <w:divBdr>
        <w:top w:val="none" w:sz="0" w:space="0" w:color="auto"/>
        <w:left w:val="none" w:sz="0" w:space="0" w:color="auto"/>
        <w:bottom w:val="none" w:sz="0" w:space="0" w:color="auto"/>
        <w:right w:val="none" w:sz="0" w:space="0" w:color="auto"/>
      </w:divBdr>
    </w:div>
    <w:div w:id="196310961">
      <w:bodyDiv w:val="1"/>
      <w:marLeft w:val="0"/>
      <w:marRight w:val="0"/>
      <w:marTop w:val="0"/>
      <w:marBottom w:val="0"/>
      <w:divBdr>
        <w:top w:val="none" w:sz="0" w:space="0" w:color="auto"/>
        <w:left w:val="none" w:sz="0" w:space="0" w:color="auto"/>
        <w:bottom w:val="none" w:sz="0" w:space="0" w:color="auto"/>
        <w:right w:val="none" w:sz="0" w:space="0" w:color="auto"/>
      </w:divBdr>
    </w:div>
    <w:div w:id="475756857">
      <w:bodyDiv w:val="1"/>
      <w:marLeft w:val="0"/>
      <w:marRight w:val="0"/>
      <w:marTop w:val="0"/>
      <w:marBottom w:val="0"/>
      <w:divBdr>
        <w:top w:val="none" w:sz="0" w:space="0" w:color="auto"/>
        <w:left w:val="none" w:sz="0" w:space="0" w:color="auto"/>
        <w:bottom w:val="none" w:sz="0" w:space="0" w:color="auto"/>
        <w:right w:val="none" w:sz="0" w:space="0" w:color="auto"/>
      </w:divBdr>
    </w:div>
    <w:div w:id="972365019">
      <w:bodyDiv w:val="1"/>
      <w:marLeft w:val="0"/>
      <w:marRight w:val="0"/>
      <w:marTop w:val="0"/>
      <w:marBottom w:val="0"/>
      <w:divBdr>
        <w:top w:val="none" w:sz="0" w:space="0" w:color="auto"/>
        <w:left w:val="none" w:sz="0" w:space="0" w:color="auto"/>
        <w:bottom w:val="none" w:sz="0" w:space="0" w:color="auto"/>
        <w:right w:val="none" w:sz="0" w:space="0" w:color="auto"/>
      </w:divBdr>
    </w:div>
    <w:div w:id="1074746158">
      <w:bodyDiv w:val="1"/>
      <w:marLeft w:val="0"/>
      <w:marRight w:val="0"/>
      <w:marTop w:val="0"/>
      <w:marBottom w:val="0"/>
      <w:divBdr>
        <w:top w:val="none" w:sz="0" w:space="0" w:color="auto"/>
        <w:left w:val="none" w:sz="0" w:space="0" w:color="auto"/>
        <w:bottom w:val="none" w:sz="0" w:space="0" w:color="auto"/>
        <w:right w:val="none" w:sz="0" w:space="0" w:color="auto"/>
      </w:divBdr>
    </w:div>
    <w:div w:id="1167986244">
      <w:bodyDiv w:val="1"/>
      <w:marLeft w:val="0"/>
      <w:marRight w:val="0"/>
      <w:marTop w:val="0"/>
      <w:marBottom w:val="0"/>
      <w:divBdr>
        <w:top w:val="none" w:sz="0" w:space="0" w:color="auto"/>
        <w:left w:val="none" w:sz="0" w:space="0" w:color="auto"/>
        <w:bottom w:val="none" w:sz="0" w:space="0" w:color="auto"/>
        <w:right w:val="none" w:sz="0" w:space="0" w:color="auto"/>
      </w:divBdr>
    </w:div>
    <w:div w:id="1361468548">
      <w:bodyDiv w:val="1"/>
      <w:marLeft w:val="0"/>
      <w:marRight w:val="0"/>
      <w:marTop w:val="0"/>
      <w:marBottom w:val="0"/>
      <w:divBdr>
        <w:top w:val="none" w:sz="0" w:space="0" w:color="auto"/>
        <w:left w:val="none" w:sz="0" w:space="0" w:color="auto"/>
        <w:bottom w:val="none" w:sz="0" w:space="0" w:color="auto"/>
        <w:right w:val="none" w:sz="0" w:space="0" w:color="auto"/>
      </w:divBdr>
    </w:div>
    <w:div w:id="1376849397">
      <w:bodyDiv w:val="1"/>
      <w:marLeft w:val="0"/>
      <w:marRight w:val="0"/>
      <w:marTop w:val="0"/>
      <w:marBottom w:val="0"/>
      <w:divBdr>
        <w:top w:val="none" w:sz="0" w:space="0" w:color="auto"/>
        <w:left w:val="none" w:sz="0" w:space="0" w:color="auto"/>
        <w:bottom w:val="none" w:sz="0" w:space="0" w:color="auto"/>
        <w:right w:val="none" w:sz="0" w:space="0" w:color="auto"/>
      </w:divBdr>
    </w:div>
    <w:div w:id="1569222105">
      <w:bodyDiv w:val="1"/>
      <w:marLeft w:val="0"/>
      <w:marRight w:val="0"/>
      <w:marTop w:val="0"/>
      <w:marBottom w:val="0"/>
      <w:divBdr>
        <w:top w:val="none" w:sz="0" w:space="0" w:color="auto"/>
        <w:left w:val="none" w:sz="0" w:space="0" w:color="auto"/>
        <w:bottom w:val="none" w:sz="0" w:space="0" w:color="auto"/>
        <w:right w:val="none" w:sz="0" w:space="0" w:color="auto"/>
      </w:divBdr>
    </w:div>
    <w:div w:id="1778986372">
      <w:bodyDiv w:val="1"/>
      <w:marLeft w:val="0"/>
      <w:marRight w:val="0"/>
      <w:marTop w:val="0"/>
      <w:marBottom w:val="0"/>
      <w:divBdr>
        <w:top w:val="none" w:sz="0" w:space="0" w:color="auto"/>
        <w:left w:val="none" w:sz="0" w:space="0" w:color="auto"/>
        <w:bottom w:val="none" w:sz="0" w:space="0" w:color="auto"/>
        <w:right w:val="none" w:sz="0" w:space="0" w:color="auto"/>
      </w:divBdr>
    </w:div>
    <w:div w:id="1784567293">
      <w:bodyDiv w:val="1"/>
      <w:marLeft w:val="0"/>
      <w:marRight w:val="0"/>
      <w:marTop w:val="0"/>
      <w:marBottom w:val="0"/>
      <w:divBdr>
        <w:top w:val="none" w:sz="0" w:space="0" w:color="auto"/>
        <w:left w:val="none" w:sz="0" w:space="0" w:color="auto"/>
        <w:bottom w:val="none" w:sz="0" w:space="0" w:color="auto"/>
        <w:right w:val="none" w:sz="0" w:space="0" w:color="auto"/>
      </w:divBdr>
    </w:div>
    <w:div w:id="20984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EVM per risk</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Sheet1!$H$4:$H$10</c:f>
              <c:numCache>
                <c:formatCode>General</c:formatCode>
                <c:ptCount val="7"/>
                <c:pt idx="0">
                  <c:v>1</c:v>
                </c:pt>
                <c:pt idx="1">
                  <c:v>2</c:v>
                </c:pt>
                <c:pt idx="2">
                  <c:v>3</c:v>
                </c:pt>
                <c:pt idx="3">
                  <c:v>4</c:v>
                </c:pt>
                <c:pt idx="4">
                  <c:v>5</c:v>
                </c:pt>
                <c:pt idx="5">
                  <c:v>6</c:v>
                </c:pt>
                <c:pt idx="6">
                  <c:v>7</c:v>
                </c:pt>
              </c:numCache>
            </c:numRef>
          </c:cat>
          <c:val>
            <c:numRef>
              <c:f>Sheet1!$I$4:$I$10</c:f>
              <c:numCache>
                <c:formatCode>General</c:formatCode>
                <c:ptCount val="7"/>
                <c:pt idx="0">
                  <c:v>1750</c:v>
                </c:pt>
                <c:pt idx="1">
                  <c:v>2500</c:v>
                </c:pt>
                <c:pt idx="2">
                  <c:v>600</c:v>
                </c:pt>
                <c:pt idx="3">
                  <c:v>100</c:v>
                </c:pt>
                <c:pt idx="4">
                  <c:v>750</c:v>
                </c:pt>
                <c:pt idx="5">
                  <c:v>400</c:v>
                </c:pt>
                <c:pt idx="6">
                  <c:v>240</c:v>
                </c:pt>
              </c:numCache>
            </c:numRef>
          </c:val>
          <c:extLst>
            <c:ext xmlns:c16="http://schemas.microsoft.com/office/drawing/2014/chart" uri="{C3380CC4-5D6E-409C-BE32-E72D297353CC}">
              <c16:uniqueId val="{00000000-E1B6-4C58-8105-68701A2AC235}"/>
            </c:ext>
          </c:extLst>
        </c:ser>
        <c:dLbls>
          <c:dLblPos val="outEnd"/>
          <c:showLegendKey val="0"/>
          <c:showVal val="1"/>
          <c:showCatName val="0"/>
          <c:showSerName val="0"/>
          <c:showPercent val="0"/>
          <c:showBubbleSize val="0"/>
        </c:dLbls>
        <c:gapWidth val="444"/>
        <c:overlap val="-90"/>
        <c:axId val="1162698783"/>
        <c:axId val="1162695423"/>
      </c:barChart>
      <c:catAx>
        <c:axId val="116269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62695423"/>
        <c:crosses val="autoZero"/>
        <c:auto val="1"/>
        <c:lblAlgn val="ctr"/>
        <c:lblOffset val="100"/>
        <c:noMultiLvlLbl val="0"/>
      </c:catAx>
      <c:valAx>
        <c:axId val="1162695423"/>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EVM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6269878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Tuo22</b:Tag>
    <b:SourceType>JournalArticle</b:SourceType>
    <b:Guid>{24A7EF18-E1AA-4DFF-A32C-10AB2A13655A}</b:Guid>
    <b:Title>Application of decision tree analysis and expected monetary value technique in quantitative risk  management: Evaluation of less risky investment strategy</b:Title>
    <b:JournalName>School of Technology and Innovations</b:JournalName>
    <b:Year>2022</b:Year>
    <b:Author>
      <b:Author>
        <b:NameList>
          <b:Person>
            <b:Last>Tuomas</b:Last>
            <b:First>Metsänen</b:First>
          </b:Person>
        </b:NameList>
      </b:Author>
    </b:Author>
    <b:RefOrder>1</b:RefOrder>
  </b:Source>
  <b:Source>
    <b:Tag>Sha13</b:Tag>
    <b:SourceType>JournalArticle</b:SourceType>
    <b:Guid>{8E784AAF-F761-4A72-9E8F-6FB1DE51D91B}</b:Guid>
    <b:Title>Difference between Internal and External Supply Chain Risks on its Performance.</b:Title>
    <b:JournalName>Singaporean Journal of Business , Economics and Management Studies</b:JournalName>
    <b:Year>2013</b:Year>
    <b:Author>
      <b:Author>
        <b:NameList>
          <b:Person>
            <b:Last>Shahram</b:Last>
            <b:First>Gilaninia</b:First>
          </b:Person>
          <b:Person>
            <b:Last>Hosein</b:Last>
            <b:First>Ganjinia</b:First>
          </b:Person>
          <b:Person>
            <b:Last>Mahdi </b:Last>
            <b:First>khanm</b:First>
          </b:Person>
        </b:NameList>
      </b:Author>
    </b:Author>
    <b:RefOrder>2</b:RefOrder>
  </b:Source>
  <b:Source>
    <b:Tag>Wag19</b:Tag>
    <b:SourceType>JournalArticle</b:SourceType>
    <b:Guid>{3FE6654B-AD43-457B-934E-98F1AF14AFD2}</b:Guid>
    <b:Title>Calculating project risk contingency Expected Monetary Value (EMV) vs Monte Carlo Analysis</b:Title>
    <b:JournalName>Synergy</b:JournalName>
    <b:Year>2019</b:Year>
    <b:Author>
      <b:Author>
        <b:NameList>
          <b:Person>
            <b:Last>Wagner</b:Last>
            <b:First>Debra </b:First>
          </b:Person>
          <b:Person>
            <b:Last>Shiraji </b:Last>
            <b:First>Kazi </b:First>
          </b:Person>
        </b:NameList>
      </b:Author>
    </b:Author>
    <b:RefOrder>3</b:RefOrder>
  </b:Source>
</b:Sources>
</file>

<file path=customXml/itemProps1.xml><?xml version="1.0" encoding="utf-8"?>
<ds:datastoreItem xmlns:ds="http://schemas.openxmlformats.org/officeDocument/2006/customXml" ds:itemID="{91976AB0-C832-4C8C-965B-F02BF9B0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Ahmad S E Alnasr</dc:creator>
  <cp:keywords/>
  <dc:description/>
  <cp:lastModifiedBy>sanjaya rathnayaka</cp:lastModifiedBy>
  <cp:revision>75</cp:revision>
  <dcterms:created xsi:type="dcterms:W3CDTF">2023-05-20T23:27:00Z</dcterms:created>
  <dcterms:modified xsi:type="dcterms:W3CDTF">2023-05-22T20:41:00Z</dcterms:modified>
</cp:coreProperties>
</file>