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9386B" w14:textId="77777777" w:rsidR="00651EBC" w:rsidRDefault="00651EBC">
      <w:pPr>
        <w:spacing w:before="2200"/>
      </w:pPr>
    </w:p>
    <w:p w14:paraId="25F657A2" w14:textId="77777777" w:rsidR="00651EBC" w:rsidRDefault="00000000">
      <w:pPr>
        <w:spacing w:after="120"/>
        <w:jc w:val="center"/>
      </w:pPr>
      <w:r>
        <w:rPr>
          <w:b/>
          <w:bCs/>
          <w:color w:val="44546A"/>
          <w:spacing w:val="20"/>
          <w:sz w:val="22"/>
          <w:szCs w:val="22"/>
        </w:rPr>
        <w:t>EXPLORATORY DATA ANALYSIS REPORT</w:t>
      </w:r>
    </w:p>
    <w:p w14:paraId="768CB7DE" w14:textId="77777777" w:rsidR="00651EBC" w:rsidRDefault="00000000">
      <w:pPr>
        <w:spacing w:after="360"/>
        <w:jc w:val="center"/>
      </w:pPr>
      <w:r>
        <w:rPr>
          <w:b/>
          <w:bCs/>
          <w:color w:val="1F3864"/>
          <w:sz w:val="44"/>
          <w:szCs w:val="44"/>
        </w:rPr>
        <w:t>Investment Trends in India:</w:t>
      </w:r>
    </w:p>
    <w:p w14:paraId="0F76AD92" w14:textId="77777777" w:rsidR="00651EBC" w:rsidRDefault="00000000">
      <w:pPr>
        <w:spacing w:after="500"/>
        <w:jc w:val="center"/>
      </w:pPr>
      <w:r>
        <w:rPr>
          <w:b/>
          <w:bCs/>
          <w:color w:val="44546A"/>
          <w:sz w:val="32"/>
          <w:szCs w:val="32"/>
        </w:rPr>
        <w:t>Foreign Direct Investment and Gross Capital Formation, 2014–2025</w:t>
      </w:r>
    </w:p>
    <w:p w14:paraId="56ED7F7F" w14:textId="77777777" w:rsidR="00651EBC" w:rsidRDefault="00000000">
      <w:pPr>
        <w:pBdr>
          <w:top w:val="single" w:sz="4" w:space="10" w:color="BFBFBF"/>
        </w:pBdr>
        <w:spacing w:after="60"/>
        <w:jc w:val="center"/>
      </w:pPr>
      <w:r>
        <w:rPr>
          <w:sz w:val="4"/>
          <w:szCs w:val="4"/>
        </w:rPr>
        <w:t xml:space="preserve"> </w:t>
      </w:r>
    </w:p>
    <w:p w14:paraId="70411396" w14:textId="77777777" w:rsidR="00651EBC" w:rsidRDefault="00651EBC">
      <w:pPr>
        <w:spacing w:before="3000"/>
      </w:pPr>
    </w:p>
    <w:p w14:paraId="0B994347" w14:textId="77777777" w:rsidR="00651EBC" w:rsidRDefault="00000000">
      <w:pPr>
        <w:spacing w:after="60"/>
        <w:jc w:val="center"/>
      </w:pPr>
      <w:r>
        <w:rPr>
          <w:color w:val="44546A"/>
          <w:sz w:val="22"/>
          <w:szCs w:val="22"/>
        </w:rPr>
        <w:t>Prepared by</w:t>
      </w:r>
    </w:p>
    <w:p w14:paraId="11B6AFEC" w14:textId="3823E586" w:rsidR="00651EBC" w:rsidRDefault="00000000">
      <w:pPr>
        <w:spacing w:after="40"/>
        <w:jc w:val="center"/>
      </w:pPr>
      <w:r>
        <w:rPr>
          <w:b/>
          <w:bCs/>
          <w:sz w:val="26"/>
          <w:szCs w:val="26"/>
        </w:rPr>
        <w:t>Sayan</w:t>
      </w:r>
      <w:r w:rsidR="00585788">
        <w:rPr>
          <w:b/>
          <w:bCs/>
          <w:sz w:val="26"/>
          <w:szCs w:val="26"/>
        </w:rPr>
        <w:t xml:space="preserve"> Kumar Modak</w:t>
      </w:r>
    </w:p>
    <w:p w14:paraId="28879BE5" w14:textId="77777777" w:rsidR="00651EBC" w:rsidRDefault="00000000">
      <w:pPr>
        <w:spacing w:after="300"/>
        <w:jc w:val="center"/>
      </w:pPr>
      <w:r>
        <w:rPr>
          <w:color w:val="44546A"/>
          <w:sz w:val="21"/>
          <w:szCs w:val="21"/>
        </w:rPr>
        <w:t>Data source: World Bank, World Development Indicators (India)</w:t>
      </w:r>
    </w:p>
    <w:p w14:paraId="75746BA4" w14:textId="77777777" w:rsidR="00651EBC" w:rsidRDefault="00651EBC">
      <w:pPr>
        <w:sectPr w:rsidR="00651EBC">
          <w:pgSz w:w="12240" w:h="15840"/>
          <w:pgMar w:top="1440" w:right="1440" w:bottom="1440" w:left="1440" w:header="708" w:footer="708" w:gutter="0"/>
          <w:cols w:space="720"/>
          <w:docGrid w:linePitch="360"/>
        </w:sectPr>
      </w:pPr>
    </w:p>
    <w:p w14:paraId="0E526F69" w14:textId="77777777" w:rsidR="00651EBC" w:rsidRDefault="00000000">
      <w:pPr>
        <w:pStyle w:val="Heading1"/>
        <w:pBdr>
          <w:bottom w:val="single" w:sz="6" w:space="4" w:color="1F3864"/>
        </w:pBdr>
      </w:pPr>
      <w:r>
        <w:lastRenderedPageBreak/>
        <w:t>1.  Executive Summary</w:t>
      </w:r>
    </w:p>
    <w:p w14:paraId="0B88DA4D" w14:textId="77777777" w:rsidR="00651EBC" w:rsidRDefault="00000000">
      <w:pPr>
        <w:spacing w:after="160" w:line="276" w:lineRule="auto"/>
        <w:jc w:val="both"/>
      </w:pPr>
      <w:r>
        <w:t>This report presents an exploratory data analysis (EDA) of two related investment indicators for India — Foreign Direct Investment (FDI), net inflows (% of GDP) and Gross Capital Formation (GCF, % of GDP) — over the period 2014–2025. Both indicators are drawn from the World Bank's World Development Indicators dataset. The analysis examines each series individually, identifies major turning points, and then evaluates the relationship between the two indicators using a scatter plot and a linear regression.</w:t>
      </w:r>
    </w:p>
    <w:p w14:paraId="1C2B7692" w14:textId="77777777" w:rsidR="00651EBC" w:rsidRDefault="00000000">
      <w:pPr>
        <w:spacing w:after="160" w:line="276" w:lineRule="auto"/>
        <w:jc w:val="both"/>
      </w:pPr>
      <w:r>
        <w:t>Gross Capital Formation followed a W-shaped pattern over the period: a decline from 2014 to 2016, a partial recovery through 2018–2019, a sharp fall in 2020 linked to the COVID-19 pandemic, and a sustained recovery from 2021 onward that carried the indicator to its highest level of the study period by 2025. FDI net inflows peaked in 2020 and have declined since, reaching their lowest points in 2023–2024 before a modest uptick in 2025. When plotted against each other, the two series show a moderate-to-strong negative correlation (r ≈ -0.76), meaning that, across this twelve-year window, higher FDI inflows as a share of GDP have tended to coincide with lower Gross Capital Formation, and vice versa — the opposite of what a simple demand-for-investment narrative would predict.</w:t>
      </w:r>
    </w:p>
    <w:p w14:paraId="4A70742A" w14:textId="77777777" w:rsidR="00651EBC" w:rsidRDefault="00000000">
      <w:pPr>
        <w:pStyle w:val="Heading1"/>
        <w:pBdr>
          <w:bottom w:val="single" w:sz="6" w:space="4" w:color="1F3864"/>
        </w:pBdr>
      </w:pPr>
      <w:r>
        <w:t>2.  Introduction</w:t>
      </w:r>
    </w:p>
    <w:p w14:paraId="572540C7" w14:textId="77777777" w:rsidR="00651EBC" w:rsidRDefault="00000000">
      <w:pPr>
        <w:pStyle w:val="Heading2"/>
      </w:pPr>
      <w:r>
        <w:t>2.1  Background</w:t>
      </w:r>
    </w:p>
    <w:p w14:paraId="4B33041C" w14:textId="77777777" w:rsidR="00651EBC" w:rsidRDefault="00000000">
      <w:pPr>
        <w:spacing w:after="160" w:line="276" w:lineRule="auto"/>
        <w:jc w:val="both"/>
      </w:pPr>
      <w:r>
        <w:t>Investment is one of the principal drivers of economic growth. Gross Capital Formation (GCF) captures the addition of fixed assets in an economy — infrastructure, machinery, buildings, and equipment — that expand its future productive capacity. Foreign Direct Investment (FDI) reflects the extent to which overseas capital is flowing into (or, in the case of the outflow measure, out of) the domestic economy. Analysing how these two indicators evolved for India between 2014 and 2025, and how they relate to one another, offers a lens into the country's investment climate over a decade that included a structural credit slowdown, a pandemic shock, and a subsequent recovery.</w:t>
      </w:r>
    </w:p>
    <w:p w14:paraId="7F317CA3" w14:textId="77777777" w:rsidR="00651EBC" w:rsidRDefault="00000000">
      <w:pPr>
        <w:pStyle w:val="Heading2"/>
      </w:pPr>
      <w:r>
        <w:t>2.2  Research Question</w:t>
      </w:r>
    </w:p>
    <w:p w14:paraId="28876A95" w14:textId="77777777" w:rsidR="00651EBC" w:rsidRDefault="00000000">
      <w:pPr>
        <w:spacing w:after="160" w:line="276" w:lineRule="auto"/>
        <w:jc w:val="both"/>
      </w:pPr>
      <w:r>
        <w:rPr>
          <w:i/>
          <w:iCs/>
        </w:rPr>
        <w:t>How has Gross Capital Formation (% of GDP) changed in India between 2014 and 2025, what major economic phases can be identified, and how does it relate to FDI net inflows (% of GDP) over the same period?</w:t>
      </w:r>
    </w:p>
    <w:p w14:paraId="6E10A939" w14:textId="77777777" w:rsidR="00651EBC" w:rsidRDefault="00000000">
      <w:pPr>
        <w:pStyle w:val="Heading2"/>
      </w:pPr>
      <w:r>
        <w:lastRenderedPageBreak/>
        <w:t>2.3  Guiding Questions</w:t>
      </w:r>
    </w:p>
    <w:p w14:paraId="1038DA68" w14:textId="77777777" w:rsidR="00651EBC" w:rsidRDefault="00000000">
      <w:pPr>
        <w:spacing w:after="160" w:line="276" w:lineRule="auto"/>
        <w:jc w:val="both"/>
      </w:pPr>
      <w:r>
        <w:t>Rather than plotting the data without a clear objective, the analysis was structured around four guiding questions:</w:t>
      </w:r>
    </w:p>
    <w:p w14:paraId="701F946E" w14:textId="77777777" w:rsidR="00651EBC" w:rsidRDefault="00000000">
      <w:pPr>
        <w:pStyle w:val="ListParagraph"/>
        <w:numPr>
          <w:ilvl w:val="0"/>
          <w:numId w:val="2"/>
        </w:numPr>
        <w:spacing w:after="100" w:line="276" w:lineRule="auto"/>
      </w:pPr>
      <w:r>
        <w:t>Did investment increase or decline between 2014 and 2025?</w:t>
      </w:r>
    </w:p>
    <w:p w14:paraId="068E3933" w14:textId="77777777" w:rsidR="00651EBC" w:rsidRDefault="00000000">
      <w:pPr>
        <w:pStyle w:val="ListParagraph"/>
        <w:numPr>
          <w:ilvl w:val="0"/>
          <w:numId w:val="2"/>
        </w:numPr>
        <w:spacing w:after="100" w:line="276" w:lineRule="auto"/>
      </w:pPr>
      <w:r>
        <w:t>Were there significant turning points during the study period?</w:t>
      </w:r>
    </w:p>
    <w:p w14:paraId="1935091C" w14:textId="77777777" w:rsidR="00651EBC" w:rsidRDefault="00000000">
      <w:pPr>
        <w:pStyle w:val="ListParagraph"/>
        <w:numPr>
          <w:ilvl w:val="0"/>
          <w:numId w:val="2"/>
        </w:numPr>
        <w:spacing w:after="100" w:line="276" w:lineRule="auto"/>
      </w:pPr>
      <w:r>
        <w:t>Do these turning points correspond to well-documented economic events?</w:t>
      </w:r>
    </w:p>
    <w:p w14:paraId="22AB37C3" w14:textId="77777777" w:rsidR="00651EBC" w:rsidRDefault="00000000">
      <w:pPr>
        <w:pStyle w:val="ListParagraph"/>
        <w:numPr>
          <w:ilvl w:val="0"/>
          <w:numId w:val="2"/>
        </w:numPr>
        <w:spacing w:after="100" w:line="276" w:lineRule="auto"/>
      </w:pPr>
      <w:r>
        <w:t>How resilient was investment after periods of economic slowdown, and how does it relate to FDI inflows?</w:t>
      </w:r>
    </w:p>
    <w:p w14:paraId="1D86FD59" w14:textId="77777777" w:rsidR="00651EBC" w:rsidRDefault="00000000">
      <w:pPr>
        <w:pStyle w:val="Heading1"/>
        <w:pBdr>
          <w:bottom w:val="single" w:sz="6" w:space="4" w:color="1F3864"/>
        </w:pBdr>
      </w:pPr>
      <w:r>
        <w:t>3.  Data &amp; Methodology</w:t>
      </w:r>
    </w:p>
    <w:p w14:paraId="5EB1FA13" w14:textId="77777777" w:rsidR="00651EBC" w:rsidRDefault="00000000">
      <w:pPr>
        <w:pStyle w:val="Heading2"/>
      </w:pPr>
      <w:r>
        <w:t>3.1  Data Source</w:t>
      </w:r>
    </w:p>
    <w:p w14:paraId="6CD39453" w14:textId="77777777" w:rsidR="00651EBC" w:rsidRDefault="00000000">
      <w:pPr>
        <w:spacing w:after="160" w:line="276" w:lineRule="auto"/>
        <w:jc w:val="both"/>
      </w:pPr>
      <w:r>
        <w:t>The underlying dataset is the World Bank World Development Indicators export for India, containing 1,510 indicators reported from 1960 to 2025. The analysis focuses on the 2014–2025 window and, within it, on two indicators: Foreign direct investment, net inflows (% of GDP) and Gross capital formation (% of GDP).</w:t>
      </w:r>
    </w:p>
    <w:p w14:paraId="0BEE23CD" w14:textId="77777777" w:rsidR="00651EBC" w:rsidRDefault="00000000">
      <w:pPr>
        <w:pStyle w:val="Heading2"/>
      </w:pPr>
      <w:r>
        <w:t>3.2  Data Preparation</w:t>
      </w:r>
    </w:p>
    <w:p w14:paraId="49E01576" w14:textId="77777777" w:rsidR="00651EBC" w:rsidRDefault="00000000">
      <w:pPr>
        <w:pStyle w:val="ListParagraph"/>
        <w:numPr>
          <w:ilvl w:val="0"/>
          <w:numId w:val="2"/>
        </w:numPr>
        <w:spacing w:after="100" w:line="276" w:lineRule="auto"/>
      </w:pPr>
      <w:r>
        <w:t>Numerical values were displayed to two decimal places for readability; underlying precision was preserved for calculations.</w:t>
      </w:r>
    </w:p>
    <w:p w14:paraId="34A42D3B" w14:textId="77777777" w:rsidR="00651EBC" w:rsidRDefault="00000000">
      <w:pPr>
        <w:pStyle w:val="ListParagraph"/>
        <w:numPr>
          <w:ilvl w:val="0"/>
          <w:numId w:val="2"/>
        </w:numPr>
        <w:spacing w:after="100" w:line="276" w:lineRule="auto"/>
      </w:pPr>
      <w:r>
        <w:t>The dataset's structure and coverage were reviewed using summary and null-value checks before any indicator was selected.</w:t>
      </w:r>
    </w:p>
    <w:p w14:paraId="1967F05A" w14:textId="77777777" w:rsidR="00651EBC" w:rsidRDefault="00000000">
      <w:pPr>
        <w:pStyle w:val="ListParagraph"/>
        <w:numPr>
          <w:ilvl w:val="0"/>
          <w:numId w:val="2"/>
        </w:numPr>
        <w:spacing w:after="100" w:line="276" w:lineRule="auto"/>
      </w:pPr>
      <w:r>
        <w:t>Across all indicators for the 2014–2025 window, roughly 37% of year-indicator cells were missing (6,714 of 18,120). Missing values were retained rather than imputed, since a gap typically reflects data that was not collected or reported for that year rather than an actual value of zero — imputing it risked distorting the underlying trend.</w:t>
      </w:r>
    </w:p>
    <w:p w14:paraId="437C5DD9" w14:textId="77777777" w:rsidR="00651EBC" w:rsidRDefault="00000000">
      <w:pPr>
        <w:pStyle w:val="ListParagraph"/>
        <w:numPr>
          <w:ilvl w:val="0"/>
          <w:numId w:val="2"/>
        </w:numPr>
        <w:spacing w:after="100" w:line="276" w:lineRule="auto"/>
      </w:pPr>
      <w:r>
        <w:t>Indicators were grouped into six thematic categories (GDP, Inflation, Trade, Employment, Investment, Human Capital Investment) by matching keywords in the indicator name, which narrowed the 1,510 indicators down to the subset relevant to investment analysis.</w:t>
      </w:r>
    </w:p>
    <w:p w14:paraId="15292DAB" w14:textId="77777777" w:rsidR="00651EBC" w:rsidRDefault="00000000">
      <w:pPr>
        <w:pStyle w:val="ListParagraph"/>
        <w:numPr>
          <w:ilvl w:val="0"/>
          <w:numId w:val="2"/>
        </w:numPr>
        <w:spacing w:after="100" w:line="276" w:lineRule="auto"/>
      </w:pPr>
      <w:r>
        <w:t>Within the Investment category, each indicator's missing-year count was checked, and the two series with complete 2014–2025 coverage — FDI net inflows (% of GDP) and Gross Capital Formation (% of GDP) — were selected for detailed analysis.</w:t>
      </w:r>
    </w:p>
    <w:p w14:paraId="67C9B8CF" w14:textId="77777777" w:rsidR="00651EBC" w:rsidRDefault="00000000">
      <w:pPr>
        <w:pStyle w:val="Heading2"/>
      </w:pPr>
      <w:r>
        <w:t>3.3  Tools Used</w:t>
      </w:r>
    </w:p>
    <w:p w14:paraId="40C3C62D" w14:textId="77777777" w:rsidR="00651EBC" w:rsidRDefault="00000000">
      <w:pPr>
        <w:spacing w:after="160" w:line="276" w:lineRule="auto"/>
        <w:jc w:val="both"/>
      </w:pPr>
      <w:r>
        <w:lastRenderedPageBreak/>
        <w:t xml:space="preserve">Python (pandas, NumPy, Matplotlib, Seaborn) was used for data cleaning, aggregation, and visualisation within a </w:t>
      </w:r>
      <w:proofErr w:type="spellStart"/>
      <w:r>
        <w:t>Jupyter</w:t>
      </w:r>
      <w:proofErr w:type="spellEnd"/>
      <w:r>
        <w:t xml:space="preserve"> notebook.</w:t>
      </w:r>
    </w:p>
    <w:p w14:paraId="3196722F" w14:textId="77777777" w:rsidR="00651EBC" w:rsidRDefault="00000000">
      <w:pPr>
        <w:pStyle w:val="Heading1"/>
        <w:pBdr>
          <w:bottom w:val="single" w:sz="6" w:space="4" w:color="1F3864"/>
        </w:pBdr>
      </w:pPr>
      <w:r>
        <w:t>4.  Univariate Analysis — FDI Net Inflows (% of GDP)</w:t>
      </w:r>
    </w:p>
    <w:p w14:paraId="73A733A3" w14:textId="77777777" w:rsidR="00651EBC" w:rsidRDefault="00000000">
      <w:pPr>
        <w:spacing w:after="160" w:line="276" w:lineRule="auto"/>
        <w:jc w:val="both"/>
      </w:pPr>
      <w:r>
        <w:t>FDI net inflows as a share of GDP were plotted year-on-year to identify the overall trend and turning points across the study period.</w:t>
      </w:r>
    </w:p>
    <w:p w14:paraId="7074E7C0" w14:textId="77777777" w:rsidR="00651EBC" w:rsidRDefault="00000000">
      <w:pPr>
        <w:spacing w:before="200" w:after="40"/>
        <w:jc w:val="center"/>
      </w:pPr>
      <w:r>
        <w:rPr>
          <w:noProof/>
        </w:rPr>
        <w:drawing>
          <wp:inline distT="0" distB="0" distL="0" distR="0" wp14:anchorId="1E7E2DED" wp14:editId="69B4A45A">
            <wp:extent cx="476250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14650"/>
                    </a:xfrm>
                    <a:prstGeom prst="rect">
                      <a:avLst/>
                    </a:prstGeom>
                  </pic:spPr>
                </pic:pic>
              </a:graphicData>
            </a:graphic>
          </wp:inline>
        </w:drawing>
      </w:r>
    </w:p>
    <w:p w14:paraId="4FEBB48C" w14:textId="77777777" w:rsidR="00651EBC" w:rsidRDefault="00000000">
      <w:pPr>
        <w:spacing w:before="80" w:after="260"/>
        <w:jc w:val="center"/>
      </w:pPr>
      <w:r>
        <w:rPr>
          <w:i/>
          <w:iCs/>
          <w:color w:val="44546A"/>
          <w:sz w:val="21"/>
          <w:szCs w:val="21"/>
        </w:rPr>
        <w:t>Figure 1. FDI Net Inflows (% of GDP): India, 2014–2025</w:t>
      </w:r>
    </w:p>
    <w:p w14:paraId="207A4C2F" w14:textId="77777777" w:rsidR="00651EBC" w:rsidRDefault="00000000">
      <w:pPr>
        <w:pStyle w:val="Heading2"/>
      </w:pPr>
      <w:r>
        <w:t>4.1  Key Data Points</w:t>
      </w:r>
    </w:p>
    <w:p w14:paraId="0EC95B14" w14:textId="77777777" w:rsidR="00651EBC" w:rsidRDefault="00000000">
      <w:pPr>
        <w:pStyle w:val="ListParagraph"/>
        <w:numPr>
          <w:ilvl w:val="0"/>
          <w:numId w:val="2"/>
        </w:numPr>
        <w:spacing w:after="100" w:line="276" w:lineRule="auto"/>
      </w:pPr>
      <w:r>
        <w:rPr>
          <w:b/>
          <w:bCs/>
        </w:rPr>
        <w:t xml:space="preserve">2014 (1.70%): </w:t>
      </w:r>
      <w:r>
        <w:t>starting level for the study period.</w:t>
      </w:r>
    </w:p>
    <w:p w14:paraId="5DB7C3FD" w14:textId="77777777" w:rsidR="00651EBC" w:rsidRDefault="00000000">
      <w:pPr>
        <w:pStyle w:val="ListParagraph"/>
        <w:numPr>
          <w:ilvl w:val="0"/>
          <w:numId w:val="2"/>
        </w:numPr>
        <w:spacing w:after="100" w:line="276" w:lineRule="auto"/>
      </w:pPr>
      <w:r>
        <w:rPr>
          <w:b/>
          <w:bCs/>
        </w:rPr>
        <w:t xml:space="preserve">2015–2016 (2.09% and 1.94%): </w:t>
      </w:r>
      <w:r>
        <w:t>the two highest readings prior to 2020.</w:t>
      </w:r>
    </w:p>
    <w:p w14:paraId="6DE6A3D0" w14:textId="77777777" w:rsidR="00651EBC" w:rsidRDefault="00000000">
      <w:pPr>
        <w:pStyle w:val="ListParagraph"/>
        <w:numPr>
          <w:ilvl w:val="0"/>
          <w:numId w:val="2"/>
        </w:numPr>
        <w:spacing w:after="100" w:line="276" w:lineRule="auto"/>
      </w:pPr>
      <w:r>
        <w:rPr>
          <w:b/>
          <w:bCs/>
        </w:rPr>
        <w:t xml:space="preserve">2017–2019: </w:t>
      </w:r>
      <w:r>
        <w:t>inflows eased before climbing again into 2019 (1.79%).</w:t>
      </w:r>
    </w:p>
    <w:p w14:paraId="442759C6" w14:textId="77777777" w:rsidR="00651EBC" w:rsidRDefault="00000000">
      <w:pPr>
        <w:pStyle w:val="ListParagraph"/>
        <w:numPr>
          <w:ilvl w:val="0"/>
          <w:numId w:val="2"/>
        </w:numPr>
        <w:spacing w:after="100" w:line="276" w:lineRule="auto"/>
      </w:pPr>
      <w:r>
        <w:rPr>
          <w:b/>
          <w:bCs/>
        </w:rPr>
        <w:t xml:space="preserve">2020 (2.41%): </w:t>
      </w:r>
      <w:r>
        <w:t>the peak value of the entire series.</w:t>
      </w:r>
    </w:p>
    <w:p w14:paraId="34ABDA78" w14:textId="77777777" w:rsidR="00651EBC" w:rsidRDefault="00000000">
      <w:pPr>
        <w:pStyle w:val="ListParagraph"/>
        <w:numPr>
          <w:ilvl w:val="0"/>
          <w:numId w:val="2"/>
        </w:numPr>
        <w:spacing w:after="100" w:line="276" w:lineRule="auto"/>
      </w:pPr>
      <w:r>
        <w:rPr>
          <w:b/>
          <w:bCs/>
        </w:rPr>
        <w:t xml:space="preserve">2021–2022: </w:t>
      </w:r>
      <w:r>
        <w:t>inflows fell back and then partially recovered (1.41% to 1.54%).</w:t>
      </w:r>
    </w:p>
    <w:p w14:paraId="3FE909C2" w14:textId="77777777" w:rsidR="00651EBC" w:rsidRDefault="00000000">
      <w:pPr>
        <w:pStyle w:val="ListParagraph"/>
        <w:numPr>
          <w:ilvl w:val="0"/>
          <w:numId w:val="2"/>
        </w:numPr>
        <w:spacing w:after="100" w:line="276" w:lineRule="auto"/>
      </w:pPr>
      <w:r>
        <w:rPr>
          <w:b/>
          <w:bCs/>
        </w:rPr>
        <w:t xml:space="preserve">2023–2024 (0.80% and 0.72%): </w:t>
      </w:r>
      <w:r>
        <w:t>the two lowest readings of the study period.</w:t>
      </w:r>
    </w:p>
    <w:p w14:paraId="6A281AFC" w14:textId="77777777" w:rsidR="00651EBC" w:rsidRDefault="00000000">
      <w:pPr>
        <w:pStyle w:val="ListParagraph"/>
        <w:numPr>
          <w:ilvl w:val="0"/>
          <w:numId w:val="2"/>
        </w:numPr>
        <w:spacing w:after="100" w:line="276" w:lineRule="auto"/>
      </w:pPr>
      <w:r>
        <w:rPr>
          <w:b/>
          <w:bCs/>
        </w:rPr>
        <w:t xml:space="preserve">2025 (0.99%): </w:t>
      </w:r>
      <w:r>
        <w:t>a modest recovery, though still well below the 2014–2022 range.</w:t>
      </w:r>
    </w:p>
    <w:p w14:paraId="7A7FFEE7" w14:textId="77777777" w:rsidR="00A4225D" w:rsidRDefault="00A4225D">
      <w:pPr>
        <w:pStyle w:val="Heading2"/>
      </w:pPr>
    </w:p>
    <w:p w14:paraId="3A29FE5B" w14:textId="77777777" w:rsidR="00A4225D" w:rsidRDefault="00A4225D">
      <w:pPr>
        <w:pStyle w:val="Heading2"/>
      </w:pPr>
    </w:p>
    <w:p w14:paraId="1FA028A4" w14:textId="1B62D8F5" w:rsidR="00651EBC" w:rsidRDefault="00000000">
      <w:pPr>
        <w:pStyle w:val="Heading2"/>
      </w:pPr>
      <w:r>
        <w:lastRenderedPageBreak/>
        <w:t>4.2  Observations</w:t>
      </w:r>
    </w:p>
    <w:p w14:paraId="5E43CF0D" w14:textId="77777777" w:rsidR="00651EBC" w:rsidRDefault="00000000">
      <w:pPr>
        <w:pStyle w:val="ListParagraph"/>
        <w:numPr>
          <w:ilvl w:val="0"/>
          <w:numId w:val="2"/>
        </w:numPr>
        <w:spacing w:after="100" w:line="276" w:lineRule="auto"/>
      </w:pPr>
      <w:r>
        <w:t>Unlike Gross Capital Formation, FDI net inflows do not show a clean W-shape; the series peaks in the pandemic year (2020) rather than troughing in it, and then declines steadily through 2021–2024.</w:t>
      </w:r>
    </w:p>
    <w:p w14:paraId="6A6B1DC1" w14:textId="77777777" w:rsidR="00651EBC" w:rsidRDefault="00000000">
      <w:pPr>
        <w:pStyle w:val="ListParagraph"/>
        <w:numPr>
          <w:ilvl w:val="0"/>
          <w:numId w:val="2"/>
        </w:numPr>
        <w:spacing w:after="100" w:line="276" w:lineRule="auto"/>
      </w:pPr>
      <w:r>
        <w:t>The 2023–2025 period stands out as the weakest stretch of FDI inflows in the twelve-year window, even as Gross Capital Formation was reaching its highest levels over the same years (Section 5).</w:t>
      </w:r>
    </w:p>
    <w:p w14:paraId="2A6174DE" w14:textId="77777777" w:rsidR="00651EBC" w:rsidRDefault="00000000">
      <w:pPr>
        <w:pStyle w:val="Heading1"/>
        <w:pBdr>
          <w:bottom w:val="single" w:sz="6" w:space="4" w:color="1F3864"/>
        </w:pBdr>
      </w:pPr>
      <w:r>
        <w:t>5.  Univariate Analysis — Gross Capital Formation (% of GDP)</w:t>
      </w:r>
    </w:p>
    <w:p w14:paraId="77CD36DF" w14:textId="77777777" w:rsidR="00651EBC" w:rsidRDefault="00000000">
      <w:pPr>
        <w:spacing w:after="160" w:line="276" w:lineRule="auto"/>
        <w:jc w:val="both"/>
      </w:pPr>
      <w:r>
        <w:t>Gross Capital Formation as a share of GDP was plotted over the same period to trace the trajectory of domestic investment activity.</w:t>
      </w:r>
    </w:p>
    <w:p w14:paraId="16BEFB21" w14:textId="77777777" w:rsidR="00651EBC" w:rsidRDefault="00000000">
      <w:pPr>
        <w:spacing w:before="200" w:after="40"/>
        <w:jc w:val="center"/>
      </w:pPr>
      <w:r>
        <w:rPr>
          <w:noProof/>
        </w:rPr>
        <w:drawing>
          <wp:inline distT="0" distB="0" distL="0" distR="0" wp14:anchorId="521206EE" wp14:editId="18A0CA6E">
            <wp:extent cx="4762500" cy="2914650"/>
            <wp:effectExtent l="0" t="0" r="0" b="0"/>
            <wp:docPr id="533001244" name="Picture 5330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914650"/>
                    </a:xfrm>
                    <a:prstGeom prst="rect">
                      <a:avLst/>
                    </a:prstGeom>
                  </pic:spPr>
                </pic:pic>
              </a:graphicData>
            </a:graphic>
          </wp:inline>
        </w:drawing>
      </w:r>
    </w:p>
    <w:p w14:paraId="37B4ED0B" w14:textId="77777777" w:rsidR="00651EBC" w:rsidRDefault="00000000">
      <w:pPr>
        <w:spacing w:before="80" w:after="260"/>
        <w:jc w:val="center"/>
      </w:pPr>
      <w:r>
        <w:rPr>
          <w:i/>
          <w:iCs/>
          <w:color w:val="44546A"/>
          <w:sz w:val="21"/>
          <w:szCs w:val="21"/>
        </w:rPr>
        <w:t>Figure 2. Gross Capital Formation (% of GDP): India, 2014–2025</w:t>
      </w:r>
    </w:p>
    <w:p w14:paraId="32F6807C" w14:textId="77777777" w:rsidR="00651EBC" w:rsidRDefault="00000000">
      <w:pPr>
        <w:pStyle w:val="Heading2"/>
      </w:pPr>
      <w:r>
        <w:t>5.1  Key Data Points</w:t>
      </w:r>
    </w:p>
    <w:p w14:paraId="35ABE572" w14:textId="77777777" w:rsidR="00651EBC" w:rsidRDefault="00000000">
      <w:pPr>
        <w:pStyle w:val="ListParagraph"/>
        <w:numPr>
          <w:ilvl w:val="0"/>
          <w:numId w:val="2"/>
        </w:numPr>
        <w:spacing w:after="100" w:line="276" w:lineRule="auto"/>
      </w:pPr>
      <w:r>
        <w:rPr>
          <w:b/>
          <w:bCs/>
        </w:rPr>
        <w:t xml:space="preserve">2014 (34.27%): </w:t>
      </w:r>
      <w:r>
        <w:t>highest investment level at the start of the period, serving as the baseline for comparison.</w:t>
      </w:r>
    </w:p>
    <w:p w14:paraId="1E8E1C6F" w14:textId="77777777" w:rsidR="00651EBC" w:rsidRDefault="00000000">
      <w:pPr>
        <w:pStyle w:val="ListParagraph"/>
        <w:numPr>
          <w:ilvl w:val="0"/>
          <w:numId w:val="2"/>
        </w:numPr>
        <w:spacing w:after="100" w:line="276" w:lineRule="auto"/>
      </w:pPr>
      <w:r>
        <w:rPr>
          <w:b/>
          <w:bCs/>
        </w:rPr>
        <w:t xml:space="preserve">2016 (30.17%): </w:t>
      </w:r>
      <w:r>
        <w:t>first trough, reflecting a slowdown in capital formation and private investment.</w:t>
      </w:r>
    </w:p>
    <w:p w14:paraId="4CE595E1" w14:textId="77777777" w:rsidR="00651EBC" w:rsidRDefault="00000000">
      <w:pPr>
        <w:pStyle w:val="ListParagraph"/>
        <w:numPr>
          <w:ilvl w:val="0"/>
          <w:numId w:val="2"/>
        </w:numPr>
        <w:spacing w:after="100" w:line="276" w:lineRule="auto"/>
      </w:pPr>
      <w:r>
        <w:rPr>
          <w:b/>
          <w:bCs/>
        </w:rPr>
        <w:t xml:space="preserve">2020 (28.92%): </w:t>
      </w:r>
      <w:r>
        <w:t>lowest value of the study period, driven by the COVID-19 disruption.</w:t>
      </w:r>
    </w:p>
    <w:p w14:paraId="1EB3C47D" w14:textId="77777777" w:rsidR="00651EBC" w:rsidRDefault="00000000">
      <w:pPr>
        <w:pStyle w:val="ListParagraph"/>
        <w:numPr>
          <w:ilvl w:val="0"/>
          <w:numId w:val="2"/>
        </w:numPr>
        <w:spacing w:after="100" w:line="276" w:lineRule="auto"/>
      </w:pPr>
      <w:r>
        <w:rPr>
          <w:b/>
          <w:bCs/>
        </w:rPr>
        <w:t xml:space="preserve">2025 (34.60%): </w:t>
      </w:r>
      <w:r>
        <w:t>latest available value; Gross Capital Formation recovered to, and slightly exceeded, its 2014 level.</w:t>
      </w:r>
    </w:p>
    <w:p w14:paraId="7185AA87" w14:textId="77777777" w:rsidR="00651EBC" w:rsidRDefault="00000000">
      <w:pPr>
        <w:pStyle w:val="Heading2"/>
      </w:pPr>
      <w:r>
        <w:lastRenderedPageBreak/>
        <w:t>5.2  Overall Pattern</w:t>
      </w:r>
    </w:p>
    <w:p w14:paraId="2FEBE2F2" w14:textId="77777777" w:rsidR="00651EBC" w:rsidRDefault="00000000">
      <w:pPr>
        <w:spacing w:after="160" w:line="276" w:lineRule="auto"/>
        <w:jc w:val="both"/>
      </w:pPr>
      <w:r>
        <w:t>Taken together, these data points describe a W-shaped recovery: a decline from 2014 to 2016, a partial rebound through 2017–2018, a second and sharper decline into 2020, and a sustained recovery from 2021 onward that carried the indicator to a new high by 2025. Between 2022 and 2025 specifically, the indicator stayed within a relatively narrow band of roughly 34–35% of GDP, suggesting the recovery had become steady rather than volatile.</w:t>
      </w:r>
    </w:p>
    <w:p w14:paraId="076E38F5" w14:textId="77777777" w:rsidR="00651EBC" w:rsidRDefault="00000000">
      <w:pPr>
        <w:pStyle w:val="Heading2"/>
      </w:pPr>
      <w:r>
        <w:t>5.3  Economic Phases</w:t>
      </w:r>
    </w:p>
    <w:p w14:paraId="2A8BB6B8" w14:textId="77777777" w:rsidR="00651EBC" w:rsidRDefault="00000000">
      <w:pPr>
        <w:spacing w:after="160" w:line="276" w:lineRule="auto"/>
        <w:jc w:val="both"/>
      </w:pPr>
      <w:r>
        <w:t>The trend can be broken into four broad phases, each associated with a distinct set of contributing factors.</w:t>
      </w:r>
    </w:p>
    <w:p w14:paraId="4CED6EA9" w14:textId="77777777" w:rsidR="00651EBC" w:rsidRDefault="00651EBC">
      <w:pPr>
        <w:spacing w:before="120" w:after="16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60" w:type="dxa"/>
          <w:bottom w:w="60" w:type="dxa"/>
          <w:right w:w="60" w:type="dxa"/>
        </w:tblCellMar>
        <w:tblLook w:val="0000" w:firstRow="0" w:lastRow="0" w:firstColumn="0" w:lastColumn="0" w:noHBand="0" w:noVBand="0"/>
      </w:tblPr>
      <w:tblGrid>
        <w:gridCol w:w="3200"/>
        <w:gridCol w:w="6160"/>
      </w:tblGrid>
      <w:tr w:rsidR="00651EBC" w14:paraId="646BF02B" w14:textId="77777777">
        <w:tc>
          <w:tcPr>
            <w:tcW w:w="9360" w:type="dxa"/>
            <w:gridSpan w:val="2"/>
            <w:shd w:val="clear" w:color="auto" w:fill="1F3864"/>
            <w:tcMar>
              <w:top w:w="90" w:type="dxa"/>
              <w:left w:w="160" w:type="dxa"/>
              <w:bottom w:w="90" w:type="dxa"/>
              <w:right w:w="160" w:type="dxa"/>
            </w:tcMar>
          </w:tcPr>
          <w:p w14:paraId="4BBB1D9D" w14:textId="77777777" w:rsidR="00651EBC" w:rsidRDefault="00000000">
            <w:r>
              <w:rPr>
                <w:b/>
                <w:bCs/>
                <w:color w:val="FFFFFF"/>
                <w:sz w:val="23"/>
                <w:szCs w:val="23"/>
              </w:rPr>
              <w:t>Phase I — Investment Slowdown   (2014–2016)</w:t>
            </w:r>
          </w:p>
        </w:tc>
      </w:tr>
      <w:tr w:rsidR="00651EBC" w14:paraId="73AA1E01" w14:textId="77777777">
        <w:tc>
          <w:tcPr>
            <w:tcW w:w="3200" w:type="dxa"/>
            <w:shd w:val="clear" w:color="auto" w:fill="F2F2F2"/>
            <w:tcMar>
              <w:top w:w="90" w:type="dxa"/>
              <w:left w:w="160" w:type="dxa"/>
              <w:bottom w:w="90" w:type="dxa"/>
              <w:right w:w="160" w:type="dxa"/>
            </w:tcMar>
          </w:tcPr>
          <w:p w14:paraId="1BE97D30" w14:textId="77777777" w:rsidR="00651EBC" w:rsidRDefault="00000000">
            <w:r>
              <w:rPr>
                <w:b/>
                <w:bCs/>
                <w:sz w:val="23"/>
                <w:szCs w:val="23"/>
              </w:rPr>
              <w:t>Trend</w:t>
            </w:r>
          </w:p>
        </w:tc>
        <w:tc>
          <w:tcPr>
            <w:tcW w:w="6160" w:type="dxa"/>
            <w:tcMar>
              <w:top w:w="90" w:type="dxa"/>
              <w:left w:w="160" w:type="dxa"/>
              <w:bottom w:w="90" w:type="dxa"/>
              <w:right w:w="160" w:type="dxa"/>
            </w:tcMar>
          </w:tcPr>
          <w:p w14:paraId="67744C90" w14:textId="77777777" w:rsidR="00651EBC" w:rsidRDefault="00000000">
            <w:r>
              <w:rPr>
                <w:sz w:val="23"/>
                <w:szCs w:val="23"/>
              </w:rPr>
              <w:t>Gross Capital Formation declined steadily.</w:t>
            </w:r>
          </w:p>
        </w:tc>
      </w:tr>
      <w:tr w:rsidR="00651EBC" w14:paraId="690C765A" w14:textId="77777777">
        <w:tc>
          <w:tcPr>
            <w:tcW w:w="3200" w:type="dxa"/>
            <w:shd w:val="clear" w:color="auto" w:fill="F2F2F2"/>
            <w:tcMar>
              <w:top w:w="90" w:type="dxa"/>
              <w:left w:w="160" w:type="dxa"/>
              <w:bottom w:w="90" w:type="dxa"/>
              <w:right w:w="160" w:type="dxa"/>
            </w:tcMar>
          </w:tcPr>
          <w:p w14:paraId="604E0991" w14:textId="77777777" w:rsidR="00651EBC" w:rsidRDefault="00000000">
            <w:r>
              <w:rPr>
                <w:b/>
                <w:bCs/>
                <w:sz w:val="23"/>
                <w:szCs w:val="23"/>
              </w:rPr>
              <w:t>Key Drivers</w:t>
            </w:r>
          </w:p>
        </w:tc>
        <w:tc>
          <w:tcPr>
            <w:tcW w:w="6160" w:type="dxa"/>
            <w:tcMar>
              <w:top w:w="90" w:type="dxa"/>
              <w:left w:w="160" w:type="dxa"/>
              <w:bottom w:w="90" w:type="dxa"/>
              <w:right w:w="160" w:type="dxa"/>
            </w:tcMar>
          </w:tcPr>
          <w:p w14:paraId="2CD1ED99" w14:textId="77777777" w:rsidR="00651EBC" w:rsidRDefault="00000000">
            <w:pPr>
              <w:spacing w:after="40"/>
            </w:pPr>
            <w:r>
              <w:rPr>
                <w:sz w:val="23"/>
                <w:szCs w:val="23"/>
              </w:rPr>
              <w:t>•  Twin Balance Sheet problem: companies that had borrowed heavily during 2003–2011 struggled to repay loans as growth slowed, while banks — burdened with rising non-performing assets — became reluctant to extend new credit.</w:t>
            </w:r>
          </w:p>
          <w:p w14:paraId="0C94CBF8" w14:textId="77777777" w:rsidR="00651EBC" w:rsidRDefault="00000000">
            <w:pPr>
              <w:spacing w:after="40"/>
            </w:pPr>
            <w:r>
              <w:rPr>
                <w:sz w:val="23"/>
                <w:szCs w:val="23"/>
              </w:rPr>
              <w:t>•  Excess industrial capacity, with many firms already operating below capacity due to weak domestic and global demand, reducing the incentive to invest in expansion.</w:t>
            </w:r>
          </w:p>
          <w:p w14:paraId="4361A436" w14:textId="77777777" w:rsidR="00651EBC" w:rsidRDefault="00000000">
            <w:pPr>
              <w:spacing w:after="40"/>
            </w:pPr>
            <w:r>
              <w:rPr>
                <w:sz w:val="23"/>
                <w:szCs w:val="23"/>
              </w:rPr>
              <w:t>•  Policy and implementation challenges, including delays in project approvals, land acquisition, and environmental clearances, alongside stalled infrastructure projects.</w:t>
            </w:r>
          </w:p>
          <w:p w14:paraId="13E59186" w14:textId="77777777" w:rsidR="00651EBC" w:rsidRDefault="00000000">
            <w:pPr>
              <w:spacing w:after="40"/>
            </w:pPr>
            <w:r>
              <w:rPr>
                <w:sz w:val="23"/>
                <w:szCs w:val="23"/>
              </w:rPr>
              <w:t>•  A shift in household savings away from productive financial assets and toward valuables such as gold, reducing the pool of savings available for productive investment.</w:t>
            </w:r>
          </w:p>
        </w:tc>
      </w:tr>
    </w:tbl>
    <w:p w14:paraId="1E254F23" w14:textId="77777777" w:rsidR="00651EBC" w:rsidRDefault="00651EBC">
      <w:pPr>
        <w:spacing w:before="20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60" w:type="dxa"/>
          <w:bottom w:w="60" w:type="dxa"/>
          <w:right w:w="60" w:type="dxa"/>
        </w:tblCellMar>
        <w:tblLook w:val="0000" w:firstRow="0" w:lastRow="0" w:firstColumn="0" w:lastColumn="0" w:noHBand="0" w:noVBand="0"/>
      </w:tblPr>
      <w:tblGrid>
        <w:gridCol w:w="3200"/>
        <w:gridCol w:w="6160"/>
      </w:tblGrid>
      <w:tr w:rsidR="00651EBC" w14:paraId="43AFC8A0" w14:textId="77777777">
        <w:tc>
          <w:tcPr>
            <w:tcW w:w="9360" w:type="dxa"/>
            <w:gridSpan w:val="2"/>
            <w:shd w:val="clear" w:color="auto" w:fill="1F3864"/>
            <w:tcMar>
              <w:top w:w="90" w:type="dxa"/>
              <w:left w:w="160" w:type="dxa"/>
              <w:bottom w:w="90" w:type="dxa"/>
              <w:right w:w="160" w:type="dxa"/>
            </w:tcMar>
          </w:tcPr>
          <w:p w14:paraId="1859AF89" w14:textId="77777777" w:rsidR="00651EBC" w:rsidRDefault="00000000">
            <w:r>
              <w:rPr>
                <w:b/>
                <w:bCs/>
                <w:color w:val="FFFFFF"/>
                <w:sz w:val="23"/>
                <w:szCs w:val="23"/>
              </w:rPr>
              <w:t>Phase II — Gradual Recovery   (2017–2019)</w:t>
            </w:r>
          </w:p>
        </w:tc>
      </w:tr>
      <w:tr w:rsidR="00651EBC" w14:paraId="7C4EFB9F" w14:textId="77777777">
        <w:tc>
          <w:tcPr>
            <w:tcW w:w="3200" w:type="dxa"/>
            <w:shd w:val="clear" w:color="auto" w:fill="F2F2F2"/>
            <w:tcMar>
              <w:top w:w="90" w:type="dxa"/>
              <w:left w:w="160" w:type="dxa"/>
              <w:bottom w:w="90" w:type="dxa"/>
              <w:right w:w="160" w:type="dxa"/>
            </w:tcMar>
          </w:tcPr>
          <w:p w14:paraId="49B08242" w14:textId="77777777" w:rsidR="00651EBC" w:rsidRDefault="00000000">
            <w:r>
              <w:rPr>
                <w:b/>
                <w:bCs/>
                <w:sz w:val="23"/>
                <w:szCs w:val="23"/>
              </w:rPr>
              <w:t>Trend</w:t>
            </w:r>
          </w:p>
        </w:tc>
        <w:tc>
          <w:tcPr>
            <w:tcW w:w="6160" w:type="dxa"/>
            <w:tcMar>
              <w:top w:w="90" w:type="dxa"/>
              <w:left w:w="160" w:type="dxa"/>
              <w:bottom w:w="90" w:type="dxa"/>
              <w:right w:w="160" w:type="dxa"/>
            </w:tcMar>
          </w:tcPr>
          <w:p w14:paraId="1381F98B" w14:textId="77777777" w:rsidR="00651EBC" w:rsidRDefault="00000000">
            <w:r>
              <w:rPr>
                <w:sz w:val="23"/>
                <w:szCs w:val="23"/>
              </w:rPr>
              <w:t>Investment gradually recovered after the earlier slowdown.</w:t>
            </w:r>
          </w:p>
        </w:tc>
      </w:tr>
      <w:tr w:rsidR="00651EBC" w14:paraId="7596B93F" w14:textId="77777777">
        <w:tc>
          <w:tcPr>
            <w:tcW w:w="3200" w:type="dxa"/>
            <w:shd w:val="clear" w:color="auto" w:fill="F2F2F2"/>
            <w:tcMar>
              <w:top w:w="90" w:type="dxa"/>
              <w:left w:w="160" w:type="dxa"/>
              <w:bottom w:w="90" w:type="dxa"/>
              <w:right w:w="160" w:type="dxa"/>
            </w:tcMar>
          </w:tcPr>
          <w:p w14:paraId="7D17F074" w14:textId="77777777" w:rsidR="00651EBC" w:rsidRDefault="00000000">
            <w:r>
              <w:rPr>
                <w:b/>
                <w:bCs/>
                <w:sz w:val="23"/>
                <w:szCs w:val="23"/>
              </w:rPr>
              <w:t>Key Drivers</w:t>
            </w:r>
          </w:p>
        </w:tc>
        <w:tc>
          <w:tcPr>
            <w:tcW w:w="6160" w:type="dxa"/>
            <w:tcMar>
              <w:top w:w="90" w:type="dxa"/>
              <w:left w:w="160" w:type="dxa"/>
              <w:bottom w:w="90" w:type="dxa"/>
              <w:right w:w="160" w:type="dxa"/>
            </w:tcMar>
          </w:tcPr>
          <w:p w14:paraId="1A708F59" w14:textId="77777777" w:rsidR="00651EBC" w:rsidRDefault="00000000">
            <w:pPr>
              <w:spacing w:after="40"/>
            </w:pPr>
            <w:r>
              <w:rPr>
                <w:sz w:val="23"/>
                <w:szCs w:val="23"/>
              </w:rPr>
              <w:t>•  Resolution of stressed assets gradually improved investor confidence.</w:t>
            </w:r>
          </w:p>
          <w:p w14:paraId="6B3810E3" w14:textId="77777777" w:rsidR="00651EBC" w:rsidRDefault="00000000">
            <w:pPr>
              <w:spacing w:after="40"/>
            </w:pPr>
            <w:r>
              <w:rPr>
                <w:sz w:val="23"/>
                <w:szCs w:val="23"/>
              </w:rPr>
              <w:t>•  Credit conditions slowly improved.</w:t>
            </w:r>
          </w:p>
          <w:p w14:paraId="60ECC036" w14:textId="77777777" w:rsidR="00651EBC" w:rsidRDefault="00000000">
            <w:pPr>
              <w:spacing w:after="40"/>
            </w:pPr>
            <w:r>
              <w:rPr>
                <w:sz w:val="23"/>
                <w:szCs w:val="23"/>
              </w:rPr>
              <w:t>•  Business activity began recovering after the earlier structural challenges.</w:t>
            </w:r>
          </w:p>
        </w:tc>
      </w:tr>
    </w:tbl>
    <w:p w14:paraId="324D99BA" w14:textId="77777777" w:rsidR="00651EBC" w:rsidRDefault="00651EBC">
      <w:pPr>
        <w:spacing w:before="20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60" w:type="dxa"/>
          <w:bottom w:w="60" w:type="dxa"/>
          <w:right w:w="60" w:type="dxa"/>
        </w:tblCellMar>
        <w:tblLook w:val="0000" w:firstRow="0" w:lastRow="0" w:firstColumn="0" w:lastColumn="0" w:noHBand="0" w:noVBand="0"/>
      </w:tblPr>
      <w:tblGrid>
        <w:gridCol w:w="3200"/>
        <w:gridCol w:w="6160"/>
      </w:tblGrid>
      <w:tr w:rsidR="00651EBC" w14:paraId="73376FB6" w14:textId="77777777">
        <w:tc>
          <w:tcPr>
            <w:tcW w:w="9360" w:type="dxa"/>
            <w:gridSpan w:val="2"/>
            <w:shd w:val="clear" w:color="auto" w:fill="1F3864"/>
            <w:tcMar>
              <w:top w:w="90" w:type="dxa"/>
              <w:left w:w="160" w:type="dxa"/>
              <w:bottom w:w="90" w:type="dxa"/>
              <w:right w:w="160" w:type="dxa"/>
            </w:tcMar>
          </w:tcPr>
          <w:p w14:paraId="660F4784" w14:textId="77777777" w:rsidR="00651EBC" w:rsidRDefault="00000000">
            <w:r>
              <w:rPr>
                <w:b/>
                <w:bCs/>
                <w:color w:val="FFFFFF"/>
                <w:sz w:val="23"/>
                <w:szCs w:val="23"/>
              </w:rPr>
              <w:lastRenderedPageBreak/>
              <w:t>Phase III — COVID-19 Shock   (2020)</w:t>
            </w:r>
          </w:p>
        </w:tc>
      </w:tr>
      <w:tr w:rsidR="00651EBC" w14:paraId="13350B59" w14:textId="77777777">
        <w:tc>
          <w:tcPr>
            <w:tcW w:w="3200" w:type="dxa"/>
            <w:shd w:val="clear" w:color="auto" w:fill="F2F2F2"/>
            <w:tcMar>
              <w:top w:w="90" w:type="dxa"/>
              <w:left w:w="160" w:type="dxa"/>
              <w:bottom w:w="90" w:type="dxa"/>
              <w:right w:w="160" w:type="dxa"/>
            </w:tcMar>
          </w:tcPr>
          <w:p w14:paraId="30C59460" w14:textId="77777777" w:rsidR="00651EBC" w:rsidRDefault="00000000">
            <w:r>
              <w:rPr>
                <w:b/>
                <w:bCs/>
                <w:sz w:val="23"/>
                <w:szCs w:val="23"/>
              </w:rPr>
              <w:t>Trend</w:t>
            </w:r>
          </w:p>
        </w:tc>
        <w:tc>
          <w:tcPr>
            <w:tcW w:w="6160" w:type="dxa"/>
            <w:tcMar>
              <w:top w:w="90" w:type="dxa"/>
              <w:left w:w="160" w:type="dxa"/>
              <w:bottom w:w="90" w:type="dxa"/>
              <w:right w:w="160" w:type="dxa"/>
            </w:tcMar>
          </w:tcPr>
          <w:p w14:paraId="26D9F913" w14:textId="77777777" w:rsidR="00651EBC" w:rsidRDefault="00000000">
            <w:r>
              <w:rPr>
                <w:sz w:val="23"/>
                <w:szCs w:val="23"/>
              </w:rPr>
              <w:t>Gross Capital Formation experienced its sharpest decline in the study period.</w:t>
            </w:r>
          </w:p>
        </w:tc>
      </w:tr>
      <w:tr w:rsidR="00651EBC" w14:paraId="18E46FAB" w14:textId="77777777">
        <w:tc>
          <w:tcPr>
            <w:tcW w:w="3200" w:type="dxa"/>
            <w:shd w:val="clear" w:color="auto" w:fill="F2F2F2"/>
            <w:tcMar>
              <w:top w:w="90" w:type="dxa"/>
              <w:left w:w="160" w:type="dxa"/>
              <w:bottom w:w="90" w:type="dxa"/>
              <w:right w:w="160" w:type="dxa"/>
            </w:tcMar>
          </w:tcPr>
          <w:p w14:paraId="750106B5" w14:textId="77777777" w:rsidR="00651EBC" w:rsidRDefault="00000000">
            <w:r>
              <w:rPr>
                <w:b/>
                <w:bCs/>
                <w:sz w:val="23"/>
                <w:szCs w:val="23"/>
              </w:rPr>
              <w:t>Key Drivers</w:t>
            </w:r>
          </w:p>
        </w:tc>
        <w:tc>
          <w:tcPr>
            <w:tcW w:w="6160" w:type="dxa"/>
            <w:tcMar>
              <w:top w:w="90" w:type="dxa"/>
              <w:left w:w="160" w:type="dxa"/>
              <w:bottom w:w="90" w:type="dxa"/>
              <w:right w:w="160" w:type="dxa"/>
            </w:tcMar>
          </w:tcPr>
          <w:p w14:paraId="436B427E" w14:textId="77777777" w:rsidR="00651EBC" w:rsidRDefault="00000000">
            <w:pPr>
              <w:spacing w:after="40"/>
            </w:pPr>
            <w:r>
              <w:rPr>
                <w:sz w:val="23"/>
                <w:szCs w:val="23"/>
              </w:rPr>
              <w:t>•  Nationwide lockdowns</w:t>
            </w:r>
          </w:p>
          <w:p w14:paraId="04E2B59E" w14:textId="77777777" w:rsidR="00651EBC" w:rsidRDefault="00000000">
            <w:pPr>
              <w:spacing w:after="40"/>
            </w:pPr>
            <w:r>
              <w:rPr>
                <w:sz w:val="23"/>
                <w:szCs w:val="23"/>
              </w:rPr>
              <w:t>•  Supply chain disruptions</w:t>
            </w:r>
          </w:p>
          <w:p w14:paraId="085E19B6" w14:textId="77777777" w:rsidR="00651EBC" w:rsidRDefault="00000000">
            <w:pPr>
              <w:spacing w:after="40"/>
            </w:pPr>
            <w:r>
              <w:rPr>
                <w:sz w:val="23"/>
                <w:szCs w:val="23"/>
              </w:rPr>
              <w:t>•  Sharp fall in business activity</w:t>
            </w:r>
          </w:p>
          <w:p w14:paraId="1D0D0E25" w14:textId="77777777" w:rsidR="00651EBC" w:rsidRDefault="00000000">
            <w:pPr>
              <w:spacing w:after="40"/>
            </w:pPr>
            <w:r>
              <w:rPr>
                <w:sz w:val="23"/>
                <w:szCs w:val="23"/>
              </w:rPr>
              <w:t>•  High uncertainty leading to delayed investment decisions</w:t>
            </w:r>
          </w:p>
        </w:tc>
      </w:tr>
    </w:tbl>
    <w:p w14:paraId="0E9CBEE0" w14:textId="77777777" w:rsidR="00651EBC" w:rsidRDefault="00651EBC">
      <w:pPr>
        <w:spacing w:before="20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60" w:type="dxa"/>
          <w:bottom w:w="60" w:type="dxa"/>
          <w:right w:w="60" w:type="dxa"/>
        </w:tblCellMar>
        <w:tblLook w:val="0000" w:firstRow="0" w:lastRow="0" w:firstColumn="0" w:lastColumn="0" w:noHBand="0" w:noVBand="0"/>
      </w:tblPr>
      <w:tblGrid>
        <w:gridCol w:w="3200"/>
        <w:gridCol w:w="6160"/>
      </w:tblGrid>
      <w:tr w:rsidR="00651EBC" w14:paraId="50175494" w14:textId="77777777">
        <w:tc>
          <w:tcPr>
            <w:tcW w:w="9360" w:type="dxa"/>
            <w:gridSpan w:val="2"/>
            <w:shd w:val="clear" w:color="auto" w:fill="1F3864"/>
            <w:tcMar>
              <w:top w:w="90" w:type="dxa"/>
              <w:left w:w="160" w:type="dxa"/>
              <w:bottom w:w="90" w:type="dxa"/>
              <w:right w:w="160" w:type="dxa"/>
            </w:tcMar>
          </w:tcPr>
          <w:p w14:paraId="2E53635B" w14:textId="77777777" w:rsidR="00651EBC" w:rsidRDefault="00000000">
            <w:r>
              <w:rPr>
                <w:b/>
                <w:bCs/>
                <w:color w:val="FFFFFF"/>
                <w:sz w:val="23"/>
                <w:szCs w:val="23"/>
              </w:rPr>
              <w:t>Phase IV — Post-COVID Recovery   (2021–2025)</w:t>
            </w:r>
          </w:p>
        </w:tc>
      </w:tr>
      <w:tr w:rsidR="00651EBC" w14:paraId="25253A57" w14:textId="77777777">
        <w:tc>
          <w:tcPr>
            <w:tcW w:w="3200" w:type="dxa"/>
            <w:shd w:val="clear" w:color="auto" w:fill="F2F2F2"/>
            <w:tcMar>
              <w:top w:w="90" w:type="dxa"/>
              <w:left w:w="160" w:type="dxa"/>
              <w:bottom w:w="90" w:type="dxa"/>
              <w:right w:w="160" w:type="dxa"/>
            </w:tcMar>
          </w:tcPr>
          <w:p w14:paraId="2A148649" w14:textId="77777777" w:rsidR="00651EBC" w:rsidRDefault="00000000">
            <w:r>
              <w:rPr>
                <w:b/>
                <w:bCs/>
                <w:sz w:val="23"/>
                <w:szCs w:val="23"/>
              </w:rPr>
              <w:t>Trend</w:t>
            </w:r>
          </w:p>
        </w:tc>
        <w:tc>
          <w:tcPr>
            <w:tcW w:w="6160" w:type="dxa"/>
            <w:tcMar>
              <w:top w:w="90" w:type="dxa"/>
              <w:left w:w="160" w:type="dxa"/>
              <w:bottom w:w="90" w:type="dxa"/>
              <w:right w:w="160" w:type="dxa"/>
            </w:tcMar>
          </w:tcPr>
          <w:p w14:paraId="70707429" w14:textId="77777777" w:rsidR="00651EBC" w:rsidRDefault="00000000">
            <w:r>
              <w:rPr>
                <w:sz w:val="23"/>
                <w:szCs w:val="23"/>
              </w:rPr>
              <w:t>Investment recovered strongly and then remained relatively stable at a higher level.</w:t>
            </w:r>
          </w:p>
        </w:tc>
      </w:tr>
      <w:tr w:rsidR="00651EBC" w14:paraId="57AD2312" w14:textId="77777777">
        <w:tc>
          <w:tcPr>
            <w:tcW w:w="3200" w:type="dxa"/>
            <w:shd w:val="clear" w:color="auto" w:fill="F2F2F2"/>
            <w:tcMar>
              <w:top w:w="90" w:type="dxa"/>
              <w:left w:w="160" w:type="dxa"/>
              <w:bottom w:w="90" w:type="dxa"/>
              <w:right w:w="160" w:type="dxa"/>
            </w:tcMar>
          </w:tcPr>
          <w:p w14:paraId="203BCF62" w14:textId="77777777" w:rsidR="00651EBC" w:rsidRDefault="00000000">
            <w:r>
              <w:rPr>
                <w:b/>
                <w:bCs/>
                <w:sz w:val="23"/>
                <w:szCs w:val="23"/>
              </w:rPr>
              <w:t>Key Drivers</w:t>
            </w:r>
          </w:p>
        </w:tc>
        <w:tc>
          <w:tcPr>
            <w:tcW w:w="6160" w:type="dxa"/>
            <w:tcMar>
              <w:top w:w="90" w:type="dxa"/>
              <w:left w:w="160" w:type="dxa"/>
              <w:bottom w:w="90" w:type="dxa"/>
              <w:right w:w="160" w:type="dxa"/>
            </w:tcMar>
          </w:tcPr>
          <w:p w14:paraId="318FA9C9" w14:textId="77777777" w:rsidR="00651EBC" w:rsidRDefault="00000000">
            <w:pPr>
              <w:spacing w:after="40"/>
            </w:pPr>
            <w:r>
              <w:rPr>
                <w:sz w:val="23"/>
                <w:szCs w:val="23"/>
              </w:rPr>
              <w:t>•  Economic reopening</w:t>
            </w:r>
          </w:p>
          <w:p w14:paraId="6F714CEC" w14:textId="77777777" w:rsidR="00651EBC" w:rsidRDefault="00000000">
            <w:pPr>
              <w:spacing w:after="40"/>
            </w:pPr>
            <w:r>
              <w:rPr>
                <w:sz w:val="23"/>
                <w:szCs w:val="23"/>
              </w:rPr>
              <w:t>•  Recovery in domestic demand</w:t>
            </w:r>
          </w:p>
          <w:p w14:paraId="68A0EFD2" w14:textId="77777777" w:rsidR="00651EBC" w:rsidRDefault="00000000">
            <w:pPr>
              <w:spacing w:after="40"/>
            </w:pPr>
            <w:r>
              <w:rPr>
                <w:sz w:val="23"/>
                <w:szCs w:val="23"/>
              </w:rPr>
              <w:t>•  Increased infrastructure investment</w:t>
            </w:r>
          </w:p>
          <w:p w14:paraId="011D2F53" w14:textId="77777777" w:rsidR="00651EBC" w:rsidRDefault="00000000">
            <w:pPr>
              <w:spacing w:after="40"/>
            </w:pPr>
            <w:r>
              <w:rPr>
                <w:sz w:val="23"/>
                <w:szCs w:val="23"/>
              </w:rPr>
              <w:t>•  Improved investor confidence</w:t>
            </w:r>
          </w:p>
        </w:tc>
      </w:tr>
    </w:tbl>
    <w:p w14:paraId="282751EB" w14:textId="77777777" w:rsidR="00651EBC" w:rsidRDefault="00651EBC">
      <w:pPr>
        <w:spacing w:before="200"/>
      </w:pPr>
    </w:p>
    <w:p w14:paraId="077E644A" w14:textId="77777777" w:rsidR="00651EBC" w:rsidRDefault="00000000">
      <w:pPr>
        <w:pStyle w:val="Heading2"/>
      </w:pPr>
      <w:r>
        <w:t>5.4  Why Gross Capital Formation?</w:t>
      </w:r>
    </w:p>
    <w:p w14:paraId="16DA1C0A" w14:textId="77777777" w:rsidR="00651EBC" w:rsidRDefault="00000000">
      <w:pPr>
        <w:spacing w:after="160" w:line="276" w:lineRule="auto"/>
        <w:jc w:val="both"/>
      </w:pPr>
      <w:r>
        <w:t>Gross Capital Formation is one of the key indicators of investment activity in an economy: it captures spending on fixed assets — infrastructure, machinery, buildings, and equipment — that contribute to future economic growth. Since investment is one of the primary drivers of GDP, tracking Gross Capital Formation offers insight into how investment activity evolved over time and how it responded to major economic events.</w:t>
      </w:r>
    </w:p>
    <w:p w14:paraId="6127BBBB" w14:textId="77777777" w:rsidR="00A4225D" w:rsidRDefault="00A4225D">
      <w:pPr>
        <w:spacing w:after="160" w:line="276" w:lineRule="auto"/>
        <w:jc w:val="both"/>
      </w:pPr>
    </w:p>
    <w:p w14:paraId="4872651A" w14:textId="77777777" w:rsidR="00651EBC" w:rsidRDefault="00000000">
      <w:pPr>
        <w:pStyle w:val="Heading1"/>
        <w:pBdr>
          <w:bottom w:val="single" w:sz="6" w:space="4" w:color="1F3864"/>
        </w:pBdr>
      </w:pPr>
      <w:r>
        <w:t>6.  Bivariate Analysis — FDI vs. Gross Capital Formation</w:t>
      </w:r>
    </w:p>
    <w:p w14:paraId="679D7C7F" w14:textId="77777777" w:rsidR="00651EBC" w:rsidRDefault="00000000">
      <w:pPr>
        <w:spacing w:after="160" w:line="276" w:lineRule="auto"/>
        <w:jc w:val="both"/>
      </w:pPr>
      <w:r>
        <w:t>Having examined each indicator separately, the two series were plotted against each other to assess whether FDI inflows and domestic Gross Capital Formation moved together over 2014–2025.</w:t>
      </w:r>
    </w:p>
    <w:p w14:paraId="33DAD4B4" w14:textId="77777777" w:rsidR="00A4225D" w:rsidRDefault="00A4225D">
      <w:pPr>
        <w:pStyle w:val="Heading2"/>
      </w:pPr>
    </w:p>
    <w:p w14:paraId="54EA927B" w14:textId="77777777" w:rsidR="00A4225D" w:rsidRDefault="00A4225D">
      <w:pPr>
        <w:pStyle w:val="Heading2"/>
      </w:pPr>
    </w:p>
    <w:p w14:paraId="1FBDFD1D" w14:textId="202C0C8F" w:rsidR="00651EBC" w:rsidRDefault="00000000">
      <w:pPr>
        <w:pStyle w:val="Heading2"/>
      </w:pPr>
      <w:r>
        <w:lastRenderedPageBreak/>
        <w:t>6.1  Scatter Plot</w:t>
      </w:r>
    </w:p>
    <w:p w14:paraId="56A4075E" w14:textId="77777777" w:rsidR="00651EBC" w:rsidRDefault="00000000">
      <w:pPr>
        <w:spacing w:before="200" w:after="40"/>
        <w:jc w:val="center"/>
      </w:pPr>
      <w:r>
        <w:rPr>
          <w:noProof/>
        </w:rPr>
        <w:drawing>
          <wp:inline distT="0" distB="0" distL="0" distR="0" wp14:anchorId="6B829C00" wp14:editId="19F07D51">
            <wp:extent cx="3805340" cy="2705100"/>
            <wp:effectExtent l="0" t="0" r="5080" b="0"/>
            <wp:docPr id="2022697968" name="Picture 202269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26996" cy="2720495"/>
                    </a:xfrm>
                    <a:prstGeom prst="rect">
                      <a:avLst/>
                    </a:prstGeom>
                  </pic:spPr>
                </pic:pic>
              </a:graphicData>
            </a:graphic>
          </wp:inline>
        </w:drawing>
      </w:r>
    </w:p>
    <w:p w14:paraId="6DBB8613" w14:textId="77777777" w:rsidR="00651EBC" w:rsidRDefault="00000000">
      <w:pPr>
        <w:spacing w:before="80" w:after="260"/>
        <w:jc w:val="center"/>
      </w:pPr>
      <w:r>
        <w:rPr>
          <w:i/>
          <w:iCs/>
          <w:color w:val="44546A"/>
          <w:sz w:val="21"/>
          <w:szCs w:val="21"/>
        </w:rPr>
        <w:t>Figure 3. Relationship Between FDI Net Inflows and Gross Capital Formation, 2014–2025</w:t>
      </w:r>
    </w:p>
    <w:p w14:paraId="271D0F02" w14:textId="18BE1330" w:rsidR="00A4225D" w:rsidRDefault="00000000" w:rsidP="00A4225D">
      <w:pPr>
        <w:spacing w:after="160" w:line="276" w:lineRule="auto"/>
        <w:jc w:val="both"/>
      </w:pPr>
      <w:r>
        <w:t>The scatter plot groups the twelve years into two broad clusters: years with lower FDI (roughly 0.7–1.0% of GDP) cluster at higher Gross Capital Formation levels (32–35%), while years with higher FDI (roughly 1.8–2.4% of GDP) cluster at lower Gross Capital Formation levels (29–32%). This pattern runs counter to a simple expectation that stronger foreign investment inflows would coincide with stronger overall capital formation.</w:t>
      </w:r>
    </w:p>
    <w:p w14:paraId="5C4D1E7C" w14:textId="2719E2C3" w:rsidR="00651EBC" w:rsidRDefault="00000000" w:rsidP="00A4225D">
      <w:pPr>
        <w:spacing w:after="160" w:line="276" w:lineRule="auto"/>
        <w:jc w:val="both"/>
      </w:pPr>
      <w:r>
        <w:rPr>
          <w:b/>
          <w:bCs/>
          <w:color w:val="44546A"/>
          <w:sz w:val="26"/>
          <w:szCs w:val="26"/>
        </w:rPr>
        <w:t>6.2  Regression Analysis</w:t>
      </w:r>
    </w:p>
    <w:p w14:paraId="1597684C" w14:textId="2B813A76" w:rsidR="00651EBC" w:rsidRDefault="00A4225D">
      <w:pPr>
        <w:spacing w:before="200" w:after="40"/>
        <w:jc w:val="center"/>
      </w:pPr>
      <w:r>
        <w:rPr>
          <w:noProof/>
        </w:rPr>
        <w:drawing>
          <wp:inline distT="0" distB="0" distL="0" distR="0" wp14:anchorId="17AC8A26" wp14:editId="5245ACEA">
            <wp:extent cx="3863340" cy="2981491"/>
            <wp:effectExtent l="0" t="0" r="3810" b="9525"/>
            <wp:docPr id="715464642" name="Picture 71546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00592" cy="3010240"/>
                    </a:xfrm>
                    <a:prstGeom prst="rect">
                      <a:avLst/>
                    </a:prstGeom>
                  </pic:spPr>
                </pic:pic>
              </a:graphicData>
            </a:graphic>
          </wp:inline>
        </w:drawing>
      </w:r>
    </w:p>
    <w:p w14:paraId="6C88D8A4" w14:textId="77777777" w:rsidR="00651EBC" w:rsidRDefault="00000000">
      <w:pPr>
        <w:spacing w:before="80" w:after="260"/>
        <w:jc w:val="center"/>
      </w:pPr>
      <w:r>
        <w:rPr>
          <w:i/>
          <w:iCs/>
          <w:color w:val="44546A"/>
          <w:sz w:val="21"/>
          <w:szCs w:val="21"/>
        </w:rPr>
        <w:t>Figure 4. Regression Trend — Gross Capital Formation vs. FDI Net Inflows</w:t>
      </w:r>
    </w:p>
    <w:p w14:paraId="58EBEBC9" w14:textId="77777777" w:rsidR="00651EBC" w:rsidRDefault="00000000">
      <w:pPr>
        <w:spacing w:after="160" w:line="276" w:lineRule="auto"/>
        <w:jc w:val="both"/>
      </w:pPr>
      <w:r>
        <w:lastRenderedPageBreak/>
        <w:t>A linear regression of Gross Capital Formation on FDI net inflows (% of GDP) was fitted to quantify the relationship shown above.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600"/>
        <w:gridCol w:w="5760"/>
      </w:tblGrid>
      <w:tr w:rsidR="00651EBC" w14:paraId="118BF014" w14:textId="77777777">
        <w:tblPrEx>
          <w:tblCellMar>
            <w:top w:w="0" w:type="dxa"/>
            <w:bottom w:w="0" w:type="dxa"/>
          </w:tblCellMar>
        </w:tblPrEx>
        <w:tc>
          <w:tcPr>
            <w:tcW w:w="3600" w:type="dxa"/>
            <w:shd w:val="clear" w:color="auto" w:fill="1F3864"/>
            <w:tcMar>
              <w:top w:w="100" w:type="dxa"/>
              <w:left w:w="160" w:type="dxa"/>
              <w:bottom w:w="100" w:type="dxa"/>
              <w:right w:w="160" w:type="dxa"/>
            </w:tcMar>
          </w:tcPr>
          <w:p w14:paraId="6DC1608C" w14:textId="77777777" w:rsidR="00651EBC" w:rsidRDefault="00000000">
            <w:r>
              <w:rPr>
                <w:b/>
                <w:bCs/>
                <w:color w:val="FFFFFF"/>
                <w:sz w:val="23"/>
                <w:szCs w:val="23"/>
              </w:rPr>
              <w:t>Statistic</w:t>
            </w:r>
          </w:p>
        </w:tc>
        <w:tc>
          <w:tcPr>
            <w:tcW w:w="5760" w:type="dxa"/>
            <w:shd w:val="clear" w:color="auto" w:fill="1F3864"/>
            <w:tcMar>
              <w:top w:w="100" w:type="dxa"/>
              <w:left w:w="160" w:type="dxa"/>
              <w:bottom w:w="100" w:type="dxa"/>
              <w:right w:w="160" w:type="dxa"/>
            </w:tcMar>
          </w:tcPr>
          <w:p w14:paraId="2EA1D598" w14:textId="77777777" w:rsidR="00651EBC" w:rsidRDefault="00000000">
            <w:r>
              <w:rPr>
                <w:b/>
                <w:bCs/>
                <w:color w:val="FFFFFF"/>
                <w:sz w:val="23"/>
                <w:szCs w:val="23"/>
              </w:rPr>
              <w:t>Value</w:t>
            </w:r>
          </w:p>
        </w:tc>
      </w:tr>
      <w:tr w:rsidR="00651EBC" w14:paraId="5E56CD3A" w14:textId="77777777">
        <w:tblPrEx>
          <w:tblCellMar>
            <w:top w:w="0" w:type="dxa"/>
            <w:bottom w:w="0" w:type="dxa"/>
          </w:tblCellMar>
        </w:tblPrEx>
        <w:tc>
          <w:tcPr>
            <w:tcW w:w="3600" w:type="dxa"/>
            <w:tcMar>
              <w:top w:w="100" w:type="dxa"/>
              <w:left w:w="160" w:type="dxa"/>
              <w:bottom w:w="100" w:type="dxa"/>
              <w:right w:w="160" w:type="dxa"/>
            </w:tcMar>
          </w:tcPr>
          <w:p w14:paraId="4085EA29" w14:textId="77777777" w:rsidR="00651EBC" w:rsidRDefault="00000000">
            <w:r>
              <w:rPr>
                <w:sz w:val="23"/>
                <w:szCs w:val="23"/>
              </w:rPr>
              <w:t>Pearson correlation coefficient (r)</w:t>
            </w:r>
          </w:p>
        </w:tc>
        <w:tc>
          <w:tcPr>
            <w:tcW w:w="5760" w:type="dxa"/>
            <w:tcMar>
              <w:top w:w="100" w:type="dxa"/>
              <w:left w:w="160" w:type="dxa"/>
              <w:bottom w:w="100" w:type="dxa"/>
              <w:right w:w="160" w:type="dxa"/>
            </w:tcMar>
          </w:tcPr>
          <w:p w14:paraId="6C74F7E4" w14:textId="77777777" w:rsidR="00651EBC" w:rsidRDefault="00000000">
            <w:r>
              <w:rPr>
                <w:sz w:val="23"/>
                <w:szCs w:val="23"/>
              </w:rPr>
              <w:t>-0.76</w:t>
            </w:r>
          </w:p>
        </w:tc>
      </w:tr>
      <w:tr w:rsidR="00651EBC" w14:paraId="468246A4" w14:textId="77777777">
        <w:tblPrEx>
          <w:tblCellMar>
            <w:top w:w="0" w:type="dxa"/>
            <w:bottom w:w="0" w:type="dxa"/>
          </w:tblCellMar>
        </w:tblPrEx>
        <w:tc>
          <w:tcPr>
            <w:tcW w:w="3600" w:type="dxa"/>
            <w:shd w:val="clear" w:color="auto" w:fill="F2F2F2"/>
            <w:tcMar>
              <w:top w:w="100" w:type="dxa"/>
              <w:left w:w="160" w:type="dxa"/>
              <w:bottom w:w="100" w:type="dxa"/>
              <w:right w:w="160" w:type="dxa"/>
            </w:tcMar>
          </w:tcPr>
          <w:p w14:paraId="430C1D63" w14:textId="77777777" w:rsidR="00651EBC" w:rsidRDefault="00000000">
            <w:r>
              <w:rPr>
                <w:sz w:val="23"/>
                <w:szCs w:val="23"/>
              </w:rPr>
              <w:t>Coefficient of determination (R²)</w:t>
            </w:r>
          </w:p>
        </w:tc>
        <w:tc>
          <w:tcPr>
            <w:tcW w:w="5760" w:type="dxa"/>
            <w:shd w:val="clear" w:color="auto" w:fill="F2F2F2"/>
            <w:tcMar>
              <w:top w:w="100" w:type="dxa"/>
              <w:left w:w="160" w:type="dxa"/>
              <w:bottom w:w="100" w:type="dxa"/>
              <w:right w:w="160" w:type="dxa"/>
            </w:tcMar>
          </w:tcPr>
          <w:p w14:paraId="42D02759" w14:textId="77777777" w:rsidR="00651EBC" w:rsidRDefault="00000000">
            <w:r>
              <w:rPr>
                <w:sz w:val="23"/>
                <w:szCs w:val="23"/>
              </w:rPr>
              <w:t>0.58</w:t>
            </w:r>
          </w:p>
        </w:tc>
      </w:tr>
      <w:tr w:rsidR="00651EBC" w14:paraId="3B898BE7" w14:textId="77777777">
        <w:tblPrEx>
          <w:tblCellMar>
            <w:top w:w="0" w:type="dxa"/>
            <w:bottom w:w="0" w:type="dxa"/>
          </w:tblCellMar>
        </w:tblPrEx>
        <w:tc>
          <w:tcPr>
            <w:tcW w:w="3600" w:type="dxa"/>
            <w:tcMar>
              <w:top w:w="100" w:type="dxa"/>
              <w:left w:w="160" w:type="dxa"/>
              <w:bottom w:w="100" w:type="dxa"/>
              <w:right w:w="160" w:type="dxa"/>
            </w:tcMar>
          </w:tcPr>
          <w:p w14:paraId="0EDCDC18" w14:textId="77777777" w:rsidR="00651EBC" w:rsidRDefault="00000000">
            <w:r>
              <w:rPr>
                <w:sz w:val="23"/>
                <w:szCs w:val="23"/>
              </w:rPr>
              <w:t>Regression equation</w:t>
            </w:r>
          </w:p>
        </w:tc>
        <w:tc>
          <w:tcPr>
            <w:tcW w:w="5760" w:type="dxa"/>
            <w:tcMar>
              <w:top w:w="100" w:type="dxa"/>
              <w:left w:w="160" w:type="dxa"/>
              <w:bottom w:w="100" w:type="dxa"/>
              <w:right w:w="160" w:type="dxa"/>
            </w:tcMar>
          </w:tcPr>
          <w:p w14:paraId="49F44861" w14:textId="77777777" w:rsidR="00651EBC" w:rsidRDefault="00000000">
            <w:r>
              <w:rPr>
                <w:sz w:val="23"/>
                <w:szCs w:val="23"/>
              </w:rPr>
              <w:t>GCF = 37.08 − 3.04 × FDI</w:t>
            </w:r>
          </w:p>
        </w:tc>
      </w:tr>
      <w:tr w:rsidR="00651EBC" w14:paraId="2A480539" w14:textId="77777777">
        <w:tblPrEx>
          <w:tblCellMar>
            <w:top w:w="0" w:type="dxa"/>
            <w:bottom w:w="0" w:type="dxa"/>
          </w:tblCellMar>
        </w:tblPrEx>
        <w:tc>
          <w:tcPr>
            <w:tcW w:w="3600" w:type="dxa"/>
            <w:shd w:val="clear" w:color="auto" w:fill="F2F2F2"/>
            <w:tcMar>
              <w:top w:w="100" w:type="dxa"/>
              <w:left w:w="160" w:type="dxa"/>
              <w:bottom w:w="100" w:type="dxa"/>
              <w:right w:w="160" w:type="dxa"/>
            </w:tcMar>
          </w:tcPr>
          <w:p w14:paraId="26C8EE84" w14:textId="77777777" w:rsidR="00651EBC" w:rsidRDefault="00000000">
            <w:r>
              <w:rPr>
                <w:sz w:val="23"/>
                <w:szCs w:val="23"/>
              </w:rPr>
              <w:t>p-value</w:t>
            </w:r>
          </w:p>
        </w:tc>
        <w:tc>
          <w:tcPr>
            <w:tcW w:w="5760" w:type="dxa"/>
            <w:shd w:val="clear" w:color="auto" w:fill="F2F2F2"/>
            <w:tcMar>
              <w:top w:w="100" w:type="dxa"/>
              <w:left w:w="160" w:type="dxa"/>
              <w:bottom w:w="100" w:type="dxa"/>
              <w:right w:w="160" w:type="dxa"/>
            </w:tcMar>
          </w:tcPr>
          <w:p w14:paraId="05731061" w14:textId="77777777" w:rsidR="00651EBC" w:rsidRDefault="00000000">
            <w:r>
              <w:rPr>
                <w:sz w:val="23"/>
                <w:szCs w:val="23"/>
              </w:rPr>
              <w:t>0.004 (statistically significant at the 5% level)</w:t>
            </w:r>
          </w:p>
        </w:tc>
      </w:tr>
      <w:tr w:rsidR="00651EBC" w14:paraId="388A1EE6" w14:textId="77777777">
        <w:tblPrEx>
          <w:tblCellMar>
            <w:top w:w="0" w:type="dxa"/>
            <w:bottom w:w="0" w:type="dxa"/>
          </w:tblCellMar>
        </w:tblPrEx>
        <w:tc>
          <w:tcPr>
            <w:tcW w:w="3600" w:type="dxa"/>
            <w:tcMar>
              <w:top w:w="100" w:type="dxa"/>
              <w:left w:w="160" w:type="dxa"/>
              <w:bottom w:w="100" w:type="dxa"/>
              <w:right w:w="160" w:type="dxa"/>
            </w:tcMar>
          </w:tcPr>
          <w:p w14:paraId="27FD2716" w14:textId="77777777" w:rsidR="00651EBC" w:rsidRDefault="00000000">
            <w:r>
              <w:rPr>
                <w:sz w:val="23"/>
                <w:szCs w:val="23"/>
              </w:rPr>
              <w:t>n (years)</w:t>
            </w:r>
          </w:p>
        </w:tc>
        <w:tc>
          <w:tcPr>
            <w:tcW w:w="5760" w:type="dxa"/>
            <w:tcMar>
              <w:top w:w="100" w:type="dxa"/>
              <w:left w:w="160" w:type="dxa"/>
              <w:bottom w:w="100" w:type="dxa"/>
              <w:right w:w="160" w:type="dxa"/>
            </w:tcMar>
          </w:tcPr>
          <w:p w14:paraId="35D1467E" w14:textId="77777777" w:rsidR="00651EBC" w:rsidRDefault="00000000">
            <w:r>
              <w:rPr>
                <w:sz w:val="23"/>
                <w:szCs w:val="23"/>
              </w:rPr>
              <w:t>12 (2014–2025)</w:t>
            </w:r>
          </w:p>
        </w:tc>
      </w:tr>
    </w:tbl>
    <w:p w14:paraId="25D03034" w14:textId="77777777" w:rsidR="00651EBC" w:rsidRDefault="00651EBC">
      <w:pPr>
        <w:spacing w:before="220"/>
      </w:pPr>
    </w:p>
    <w:p w14:paraId="3ED5FBC7" w14:textId="77777777" w:rsidR="00651EBC" w:rsidRDefault="00000000">
      <w:pPr>
        <w:pStyle w:val="Heading2"/>
      </w:pPr>
      <w:r>
        <w:t>6.3  Interpretation</w:t>
      </w:r>
    </w:p>
    <w:p w14:paraId="3228E6AC" w14:textId="77777777" w:rsidR="00651EBC" w:rsidRDefault="00000000">
      <w:pPr>
        <w:pStyle w:val="ListParagraph"/>
        <w:numPr>
          <w:ilvl w:val="0"/>
          <w:numId w:val="2"/>
        </w:numPr>
        <w:spacing w:after="100" w:line="276" w:lineRule="auto"/>
      </w:pPr>
      <w:r>
        <w:t>The correlation between the two series is moderate-to-strong and negative (r ≈ -0.76): over this period, years with higher FDI net inflows as a share of GDP tended to have lower Gross Capital Formation, and vice versa.</w:t>
      </w:r>
    </w:p>
    <w:p w14:paraId="6626251B" w14:textId="77777777" w:rsidR="00651EBC" w:rsidRDefault="00000000">
      <w:pPr>
        <w:pStyle w:val="ListParagraph"/>
        <w:numPr>
          <w:ilvl w:val="0"/>
          <w:numId w:val="2"/>
        </w:numPr>
        <w:spacing w:after="100" w:line="276" w:lineRule="auto"/>
      </w:pPr>
      <w:r>
        <w:t>The regression indicates that roughly 58% of the year-to-year variation in Gross Capital Formation over this window is associated with variation in FDI net inflows, with the remainder attributable to other factors.</w:t>
      </w:r>
    </w:p>
    <w:p w14:paraId="606A67BB" w14:textId="77777777" w:rsidR="00651EBC" w:rsidRDefault="00000000">
      <w:pPr>
        <w:pStyle w:val="ListParagraph"/>
        <w:numPr>
          <w:ilvl w:val="0"/>
          <w:numId w:val="2"/>
        </w:numPr>
        <w:spacing w:after="100" w:line="276" w:lineRule="auto"/>
      </w:pPr>
      <w:r>
        <w:t>This is a correlation observed within a single 12-year time series for one country, not a causal claim — both indicators move in response to broader macroeconomic cycles (credit conditions, global capital flows, the pandemic), which can produce a negative relationship between them without one directly causing the other.</w:t>
      </w:r>
    </w:p>
    <w:p w14:paraId="6D1A527D" w14:textId="77777777" w:rsidR="00651EBC" w:rsidRDefault="00000000">
      <w:pPr>
        <w:pStyle w:val="ListParagraph"/>
        <w:numPr>
          <w:ilvl w:val="0"/>
          <w:numId w:val="2"/>
        </w:numPr>
        <w:spacing w:after="100" w:line="276" w:lineRule="auto"/>
      </w:pPr>
      <w:r>
        <w:t>A plausible reading is compositional: GCF is a much broader measure that includes domestic public and private investment, while FDI is one narrower channel within it — so a domestic investment boom (e.g., 2021–2025) can lift GCF even as FDI's own share of GDP shrinks, and periods of weak domestic activity can coincide with relatively larger FDI shares.</w:t>
      </w:r>
    </w:p>
    <w:p w14:paraId="52814228" w14:textId="77777777" w:rsidR="00A4225D" w:rsidRDefault="00A4225D" w:rsidP="00A4225D">
      <w:pPr>
        <w:spacing w:after="100" w:line="276" w:lineRule="auto"/>
      </w:pPr>
    </w:p>
    <w:p w14:paraId="14A94E54" w14:textId="77777777" w:rsidR="00A4225D" w:rsidRDefault="00A4225D" w:rsidP="00A4225D">
      <w:pPr>
        <w:spacing w:after="100" w:line="276" w:lineRule="auto"/>
      </w:pPr>
    </w:p>
    <w:p w14:paraId="1C91B266" w14:textId="77777777" w:rsidR="00A4225D" w:rsidRDefault="00A4225D" w:rsidP="00A4225D">
      <w:pPr>
        <w:spacing w:after="100" w:line="276" w:lineRule="auto"/>
      </w:pPr>
    </w:p>
    <w:p w14:paraId="696E3679" w14:textId="77777777" w:rsidR="00A4225D" w:rsidRDefault="00A4225D" w:rsidP="00A4225D">
      <w:pPr>
        <w:spacing w:after="100" w:line="276" w:lineRule="auto"/>
      </w:pPr>
    </w:p>
    <w:p w14:paraId="25DB7248" w14:textId="77777777" w:rsidR="00651EBC" w:rsidRDefault="00000000">
      <w:pPr>
        <w:pStyle w:val="Heading1"/>
        <w:pBdr>
          <w:bottom w:val="single" w:sz="6" w:space="4" w:color="1F3864"/>
        </w:pBdr>
      </w:pPr>
      <w:r>
        <w:lastRenderedPageBreak/>
        <w:t>7.  Key Findings &amp; Conclusion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651EBC" w14:paraId="7EE03FA1"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6EBC0B25" w14:textId="77777777" w:rsidR="00651EBC" w:rsidRDefault="00000000">
            <w:pPr>
              <w:spacing w:after="100"/>
            </w:pPr>
            <w:r>
              <w:rPr>
                <w:b/>
                <w:bCs/>
                <w:color w:val="1F3864"/>
              </w:rPr>
              <w:t>Summary of Findings</w:t>
            </w:r>
          </w:p>
          <w:p w14:paraId="3F048639" w14:textId="77777777" w:rsidR="00651EBC" w:rsidRDefault="00000000">
            <w:pPr>
              <w:spacing w:after="60" w:line="264" w:lineRule="auto"/>
            </w:pPr>
            <w:r>
              <w:rPr>
                <w:sz w:val="23"/>
                <w:szCs w:val="23"/>
              </w:rPr>
              <w:t>•  Gross Capital Formation followed a W-shaped path over 2014–2025: decline (2014–2016), partial recovery (2017–2019), sharp COVID-19 shock (2020), and sustained recovery (2021–2025) to a new high.</w:t>
            </w:r>
          </w:p>
          <w:p w14:paraId="2B9E153F" w14:textId="77777777" w:rsidR="00651EBC" w:rsidRDefault="00000000">
            <w:pPr>
              <w:spacing w:after="60" w:line="264" w:lineRule="auto"/>
            </w:pPr>
            <w:r>
              <w:rPr>
                <w:sz w:val="23"/>
                <w:szCs w:val="23"/>
              </w:rPr>
              <w:t>•  FDI net inflows peaked in the pandemic year (2020) and then declined steadily, reaching their lowest levels of the study period in 2023–2024 before a modest recovery in 2025.</w:t>
            </w:r>
          </w:p>
          <w:p w14:paraId="6AA1D1E0" w14:textId="77777777" w:rsidR="00651EBC" w:rsidRDefault="00000000">
            <w:pPr>
              <w:spacing w:after="60" w:line="264" w:lineRule="auto"/>
            </w:pPr>
            <w:r>
              <w:rPr>
                <w:sz w:val="23"/>
                <w:szCs w:val="23"/>
              </w:rPr>
              <w:t>•  The two series are moderately-to-strongly negatively correlated (r ≈ -0.76, R² ≈ 0.58, p = 0.004) — the post-2021 domestic investment recovery occurred alongside a declining FDI share of GDP, not alongside it.</w:t>
            </w:r>
          </w:p>
          <w:p w14:paraId="5CFD5CDC" w14:textId="77777777" w:rsidR="00651EBC" w:rsidRDefault="00000000">
            <w:pPr>
              <w:spacing w:after="60" w:line="264" w:lineRule="auto"/>
            </w:pPr>
            <w:r>
              <w:rPr>
                <w:sz w:val="23"/>
                <w:szCs w:val="23"/>
              </w:rPr>
              <w:t>•  The 2014–2016 slowdown in Gross Capital Formation is consistent with the Twin Balance Sheet problem, excess industrial capacity, and implementation delays; the 2021–2025 recovery is consistent with economic reopening and improved investor confidence.</w:t>
            </w:r>
          </w:p>
        </w:tc>
      </w:tr>
    </w:tbl>
    <w:p w14:paraId="7BF61046" w14:textId="77777777" w:rsidR="00651EBC" w:rsidRDefault="00651EBC">
      <w:pPr>
        <w:spacing w:before="220"/>
      </w:pPr>
    </w:p>
    <w:p w14:paraId="29DB5953" w14:textId="77777777" w:rsidR="00651EBC" w:rsidRDefault="00000000">
      <w:pPr>
        <w:spacing w:after="160" w:line="276" w:lineRule="auto"/>
        <w:jc w:val="both"/>
      </w:pPr>
      <w:r>
        <w:t>Overall, the analysis answers the research question in two parts. First, Gross Capital Formation in India exhibited a clear W-shaped recovery between 2014 and 2025, with turning points that align with well-documented economic events — the Twin Balance Sheet problem, and the COVID-19 pandemic — followed by a durable post-2021 recovery. Second, FDI net inflows followed a materially different path over the same period, and the negative correlation between the two series suggests that India's recent investment recovery has been driven predominantly by domestic capital formation rather than by a parallel rise in foreign direct investment as a share of GDP.</w:t>
      </w:r>
    </w:p>
    <w:p w14:paraId="5EFE7D6C" w14:textId="77777777" w:rsidR="00651EBC" w:rsidRDefault="00000000">
      <w:pPr>
        <w:pStyle w:val="Heading1"/>
        <w:pBdr>
          <w:bottom w:val="single" w:sz="6" w:space="4" w:color="1F3864"/>
        </w:pBdr>
      </w:pPr>
      <w:r>
        <w:t>8.  Limitations &amp; Scope for Further Analysis</w:t>
      </w:r>
    </w:p>
    <w:p w14:paraId="641E81E2" w14:textId="77777777" w:rsidR="00651EBC" w:rsidRDefault="00000000">
      <w:pPr>
        <w:pStyle w:val="ListParagraph"/>
        <w:numPr>
          <w:ilvl w:val="0"/>
          <w:numId w:val="2"/>
        </w:numPr>
        <w:spacing w:after="100" w:line="276" w:lineRule="auto"/>
      </w:pPr>
      <w:r>
        <w:t>The analysis covers a single country (India) over twelve annual observations; a sample of this size limits the statistical power of the correlation and regression results.</w:t>
      </w:r>
    </w:p>
    <w:p w14:paraId="0169994A" w14:textId="77777777" w:rsidR="00651EBC" w:rsidRDefault="00000000">
      <w:pPr>
        <w:pStyle w:val="ListParagraph"/>
        <w:numPr>
          <w:ilvl w:val="0"/>
          <w:numId w:val="2"/>
        </w:numPr>
        <w:spacing w:after="100" w:line="276" w:lineRule="auto"/>
      </w:pPr>
      <w:r>
        <w:t>Correlation between FDI and Gross Capital Formation does not establish causation; both indicators are influenced by shared macroeconomic drivers not modelled here (credit cycles, global capital flows, exchange rates, policy changes).</w:t>
      </w:r>
    </w:p>
    <w:p w14:paraId="4B2A6BB9" w14:textId="77777777" w:rsidR="00651EBC" w:rsidRDefault="00000000">
      <w:pPr>
        <w:pStyle w:val="ListParagraph"/>
        <w:numPr>
          <w:ilvl w:val="0"/>
          <w:numId w:val="2"/>
        </w:numPr>
        <w:spacing w:after="100" w:line="276" w:lineRule="auto"/>
      </w:pPr>
      <w:r>
        <w:t>The explanations offered for each phase of Gross Capital Formation are grounded in well-documented economic events for the corresponding years, rather than derived directly from statistical testing within this dataset.</w:t>
      </w:r>
    </w:p>
    <w:p w14:paraId="357368C2" w14:textId="77777777" w:rsidR="00651EBC" w:rsidRDefault="00000000">
      <w:pPr>
        <w:pStyle w:val="ListParagraph"/>
        <w:numPr>
          <w:ilvl w:val="0"/>
          <w:numId w:val="2"/>
        </w:numPr>
        <w:spacing w:after="100" w:line="276" w:lineRule="auto"/>
      </w:pPr>
      <w:r>
        <w:lastRenderedPageBreak/>
        <w:t>Extending the analysis to other Investment-category indicators (e.g., FDI net outflows, Gross Capital Formation growth rates) or to a peer-country comparison would help validate whether the observed relationship is specific to India or holds more broadly.</w:t>
      </w:r>
    </w:p>
    <w:p w14:paraId="2786A389" w14:textId="77777777" w:rsidR="00651EBC" w:rsidRDefault="00000000">
      <w:pPr>
        <w:pStyle w:val="Heading1"/>
        <w:pBdr>
          <w:bottom w:val="single" w:sz="6" w:space="4" w:color="1F3864"/>
        </w:pBdr>
      </w:pPr>
      <w:r>
        <w:t>9.  Appendix</w:t>
      </w:r>
    </w:p>
    <w:p w14:paraId="733C7610" w14:textId="77777777" w:rsidR="00651EBC" w:rsidRDefault="00000000">
      <w:pPr>
        <w:pStyle w:val="Heading2"/>
      </w:pPr>
      <w:r>
        <w:t>9.1  Indicator Categorisation</w:t>
      </w:r>
    </w:p>
    <w:p w14:paraId="718A45F6" w14:textId="77777777" w:rsidR="00651EBC" w:rsidRDefault="00000000">
      <w:pPr>
        <w:spacing w:after="160" w:line="276" w:lineRule="auto"/>
        <w:jc w:val="both"/>
      </w:pPr>
      <w:r>
        <w:t>Indicators in the World Development Indicators dataset were grouped into six thematic categories using keyword matching on the indicator name, to narrow the full set of 1,510 indicators down to those relevant to this analysis:</w:t>
      </w:r>
    </w:p>
    <w:p w14:paraId="60AADBD6" w14:textId="77777777" w:rsidR="00651EBC" w:rsidRDefault="00000000">
      <w:pPr>
        <w:pStyle w:val="ListParagraph"/>
        <w:numPr>
          <w:ilvl w:val="0"/>
          <w:numId w:val="2"/>
        </w:numPr>
        <w:spacing w:after="100" w:line="276" w:lineRule="auto"/>
      </w:pPr>
      <w:r>
        <w:t>GDP — GDP, Gross domestic product</w:t>
      </w:r>
    </w:p>
    <w:p w14:paraId="15C0891F" w14:textId="77777777" w:rsidR="00651EBC" w:rsidRDefault="00000000">
      <w:pPr>
        <w:pStyle w:val="ListParagraph"/>
        <w:numPr>
          <w:ilvl w:val="0"/>
          <w:numId w:val="2"/>
        </w:numPr>
        <w:spacing w:after="100" w:line="276" w:lineRule="auto"/>
      </w:pPr>
      <w:r>
        <w:t>Inflation — Inflation, Consumer price, GDP deflator</w:t>
      </w:r>
    </w:p>
    <w:p w14:paraId="16591EB7" w14:textId="77777777" w:rsidR="00651EBC" w:rsidRDefault="00000000">
      <w:pPr>
        <w:pStyle w:val="ListParagraph"/>
        <w:numPr>
          <w:ilvl w:val="0"/>
          <w:numId w:val="2"/>
        </w:numPr>
        <w:spacing w:after="100" w:line="276" w:lineRule="auto"/>
      </w:pPr>
      <w:r>
        <w:t>Trade — Export, Import</w:t>
      </w:r>
    </w:p>
    <w:p w14:paraId="73FC0BA6" w14:textId="77777777" w:rsidR="00651EBC" w:rsidRDefault="00000000">
      <w:pPr>
        <w:pStyle w:val="ListParagraph"/>
        <w:numPr>
          <w:ilvl w:val="0"/>
          <w:numId w:val="2"/>
        </w:numPr>
        <w:spacing w:after="100" w:line="276" w:lineRule="auto"/>
      </w:pPr>
      <w:r>
        <w:t>Employment — Employment, Unemployment, Labor force</w:t>
      </w:r>
    </w:p>
    <w:p w14:paraId="2757CFD9" w14:textId="77777777" w:rsidR="00651EBC" w:rsidRDefault="00000000">
      <w:pPr>
        <w:pStyle w:val="ListParagraph"/>
        <w:numPr>
          <w:ilvl w:val="0"/>
          <w:numId w:val="2"/>
        </w:numPr>
        <w:spacing w:after="100" w:line="276" w:lineRule="auto"/>
      </w:pPr>
      <w:r>
        <w:t>Investment — Foreign direct investment, Gross capital formation, Investment</w:t>
      </w:r>
    </w:p>
    <w:p w14:paraId="6ECD8B13" w14:textId="77777777" w:rsidR="00651EBC" w:rsidRDefault="00000000">
      <w:pPr>
        <w:pStyle w:val="ListParagraph"/>
        <w:numPr>
          <w:ilvl w:val="0"/>
          <w:numId w:val="2"/>
        </w:numPr>
        <w:spacing w:after="100" w:line="276" w:lineRule="auto"/>
      </w:pPr>
      <w:r>
        <w:t>Human Capital Investment — Human Capital, Investment on human capital</w:t>
      </w:r>
    </w:p>
    <w:p w14:paraId="56883F18" w14:textId="77777777" w:rsidR="00A4225D" w:rsidRDefault="00A4225D" w:rsidP="00A4225D">
      <w:pPr>
        <w:spacing w:after="100" w:line="276" w:lineRule="auto"/>
      </w:pPr>
    </w:p>
    <w:p w14:paraId="5E5D5089" w14:textId="77777777" w:rsidR="00651EBC" w:rsidRDefault="00000000">
      <w:pPr>
        <w:pStyle w:val="Heading2"/>
      </w:pPr>
      <w:r>
        <w:t>9.2  Data Source</w:t>
      </w:r>
    </w:p>
    <w:p w14:paraId="3CE782B1" w14:textId="77777777" w:rsidR="00651EBC" w:rsidRDefault="00000000">
      <w:pPr>
        <w:spacing w:after="160" w:line="276" w:lineRule="auto"/>
        <w:jc w:val="both"/>
      </w:pPr>
      <w:r>
        <w:t>World Bank, World Development Indicators — India country export, indicators for 1960–2025 (analysis window: 2014–2025).</w:t>
      </w:r>
    </w:p>
    <w:p w14:paraId="07DC249A" w14:textId="77777777" w:rsidR="00A4225D" w:rsidRDefault="00A4225D">
      <w:pPr>
        <w:spacing w:after="160" w:line="276" w:lineRule="auto"/>
        <w:jc w:val="both"/>
      </w:pPr>
    </w:p>
    <w:p w14:paraId="188DA1DC" w14:textId="77777777" w:rsidR="00651EBC" w:rsidRDefault="00000000">
      <w:pPr>
        <w:pStyle w:val="Heading2"/>
      </w:pPr>
      <w:r>
        <w:t>9.3  Code Walkthrough</w:t>
      </w:r>
    </w:p>
    <w:p w14:paraId="0C873B6F" w14:textId="77777777" w:rsidR="00651EBC" w:rsidRDefault="00000000">
      <w:pPr>
        <w:spacing w:after="160" w:line="276" w:lineRule="auto"/>
        <w:jc w:val="both"/>
      </w:pPr>
      <w:r>
        <w:t xml:space="preserve">The steps below reproduce the core logic used in the underlying </w:t>
      </w:r>
      <w:proofErr w:type="spellStart"/>
      <w:r>
        <w:t>Jupyter</w:t>
      </w:r>
      <w:proofErr w:type="spellEnd"/>
      <w:r>
        <w:t xml:space="preserve"> notebook, in the order it was carried out — from loading the raw World Bank export through to generating the annotated Gross Capital Formation chart in Figure 2. Output-only cells (e.g., .info(), .shape(), .head()) are omitted; only the code that shaped the dataset or produced a result used in this report is shown.</w:t>
      </w:r>
    </w:p>
    <w:p w14:paraId="7F1D6CE1" w14:textId="77777777" w:rsidR="00A4225D" w:rsidRDefault="00A4225D">
      <w:pPr>
        <w:spacing w:before="160" w:after="60"/>
        <w:rPr>
          <w:b/>
          <w:bCs/>
          <w:i/>
          <w:iCs/>
          <w:color w:val="44546A"/>
          <w:sz w:val="22"/>
          <w:szCs w:val="22"/>
        </w:rPr>
      </w:pPr>
    </w:p>
    <w:p w14:paraId="05C46F51" w14:textId="77777777" w:rsidR="00A4225D" w:rsidRDefault="00A4225D">
      <w:pPr>
        <w:spacing w:before="160" w:after="60"/>
        <w:rPr>
          <w:b/>
          <w:bCs/>
          <w:i/>
          <w:iCs/>
          <w:color w:val="44546A"/>
          <w:sz w:val="22"/>
          <w:szCs w:val="22"/>
        </w:rPr>
      </w:pPr>
    </w:p>
    <w:p w14:paraId="0413BF13" w14:textId="77777777" w:rsidR="00A4225D" w:rsidRDefault="00A4225D">
      <w:pPr>
        <w:spacing w:before="160" w:after="60"/>
        <w:rPr>
          <w:b/>
          <w:bCs/>
          <w:i/>
          <w:iCs/>
          <w:color w:val="44546A"/>
          <w:sz w:val="22"/>
          <w:szCs w:val="22"/>
        </w:rPr>
      </w:pPr>
    </w:p>
    <w:p w14:paraId="3AFFC1E1" w14:textId="6DFFA96D" w:rsidR="00651EBC" w:rsidRDefault="00000000">
      <w:pPr>
        <w:spacing w:before="160" w:after="60"/>
      </w:pPr>
      <w:r>
        <w:rPr>
          <w:b/>
          <w:bCs/>
          <w:i/>
          <w:iCs/>
          <w:color w:val="44546A"/>
          <w:sz w:val="22"/>
          <w:szCs w:val="22"/>
        </w:rPr>
        <w:lastRenderedPageBreak/>
        <w:t>Step 1 — Setup and Data Loading</w:t>
      </w:r>
    </w:p>
    <w:tbl>
      <w:tblPr>
        <w:tblW w:w="9360" w:type="dxa"/>
        <w:tblBorders>
          <w:top w:val="single" w:sz="4" w:space="0" w:color="9DB3C7"/>
          <w:left w:val="single" w:sz="18" w:space="0" w:color="1F3864"/>
          <w:bottom w:val="single" w:sz="4" w:space="0" w:color="9DB3C7"/>
          <w:right w:val="single" w:sz="4" w:space="0" w:color="9DB3C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51EBC" w14:paraId="16DDFAEC" w14:textId="77777777">
        <w:tblPrEx>
          <w:tblCellMar>
            <w:top w:w="0" w:type="dxa"/>
            <w:bottom w:w="0" w:type="dxa"/>
          </w:tblCellMar>
        </w:tblPrEx>
        <w:trPr>
          <w:cantSplit/>
        </w:trPr>
        <w:tc>
          <w:tcPr>
            <w:tcW w:w="0" w:type="auto"/>
            <w:shd w:val="clear" w:color="auto" w:fill="F5F5F5"/>
            <w:tcMar>
              <w:top w:w="160" w:type="dxa"/>
              <w:left w:w="220" w:type="dxa"/>
              <w:bottom w:w="160" w:type="dxa"/>
              <w:right w:w="220" w:type="dxa"/>
            </w:tcMar>
          </w:tcPr>
          <w:p w14:paraId="00BDA331" w14:textId="77777777" w:rsidR="00651EBC" w:rsidRDefault="00000000">
            <w:pPr>
              <w:spacing w:after="20"/>
            </w:pPr>
            <w:r>
              <w:rPr>
                <w:rFonts w:ascii="Consolas" w:eastAsia="Consolas" w:hAnsi="Consolas" w:cs="Consolas"/>
                <w:color w:val="1B1B1B"/>
                <w:sz w:val="21"/>
                <w:szCs w:val="21"/>
              </w:rPr>
              <w:t>import pandas as pd</w:t>
            </w:r>
          </w:p>
          <w:p w14:paraId="062A4919" w14:textId="77777777" w:rsidR="00651EBC" w:rsidRDefault="00000000">
            <w:pPr>
              <w:spacing w:after="20"/>
            </w:pPr>
            <w:r>
              <w:rPr>
                <w:rFonts w:ascii="Consolas" w:eastAsia="Consolas" w:hAnsi="Consolas" w:cs="Consolas"/>
                <w:color w:val="1B1B1B"/>
                <w:sz w:val="21"/>
                <w:szCs w:val="21"/>
              </w:rPr>
              <w:t xml:space="preserve">import </w:t>
            </w:r>
            <w:proofErr w:type="spellStart"/>
            <w:r>
              <w:rPr>
                <w:rFonts w:ascii="Consolas" w:eastAsia="Consolas" w:hAnsi="Consolas" w:cs="Consolas"/>
                <w:color w:val="1B1B1B"/>
                <w:sz w:val="21"/>
                <w:szCs w:val="21"/>
              </w:rPr>
              <w:t>numpy</w:t>
            </w:r>
            <w:proofErr w:type="spellEnd"/>
            <w:r>
              <w:rPr>
                <w:rFonts w:ascii="Consolas" w:eastAsia="Consolas" w:hAnsi="Consolas" w:cs="Consolas"/>
                <w:color w:val="1B1B1B"/>
                <w:sz w:val="21"/>
                <w:szCs w:val="21"/>
              </w:rPr>
              <w:t xml:space="preserve"> as np</w:t>
            </w:r>
          </w:p>
          <w:p w14:paraId="1F4303B3" w14:textId="77777777" w:rsidR="00651EBC" w:rsidRDefault="00000000">
            <w:pPr>
              <w:spacing w:after="20"/>
            </w:pPr>
            <w:r>
              <w:rPr>
                <w:rFonts w:ascii="Consolas" w:eastAsia="Consolas" w:hAnsi="Consolas" w:cs="Consolas"/>
                <w:color w:val="1B1B1B"/>
                <w:sz w:val="21"/>
                <w:szCs w:val="21"/>
              </w:rPr>
              <w:t xml:space="preserve">import </w:t>
            </w:r>
            <w:proofErr w:type="spellStart"/>
            <w:r>
              <w:rPr>
                <w:rFonts w:ascii="Consolas" w:eastAsia="Consolas" w:hAnsi="Consolas" w:cs="Consolas"/>
                <w:color w:val="1B1B1B"/>
                <w:sz w:val="21"/>
                <w:szCs w:val="21"/>
              </w:rPr>
              <w:t>matplotlib.pyplot</w:t>
            </w:r>
            <w:proofErr w:type="spellEnd"/>
            <w:r>
              <w:rPr>
                <w:rFonts w:ascii="Consolas" w:eastAsia="Consolas" w:hAnsi="Consolas" w:cs="Consolas"/>
                <w:color w:val="1B1B1B"/>
                <w:sz w:val="21"/>
                <w:szCs w:val="21"/>
              </w:rPr>
              <w:t xml:space="preserve"> as </w:t>
            </w:r>
            <w:proofErr w:type="spellStart"/>
            <w:r>
              <w:rPr>
                <w:rFonts w:ascii="Consolas" w:eastAsia="Consolas" w:hAnsi="Consolas" w:cs="Consolas"/>
                <w:color w:val="1B1B1B"/>
                <w:sz w:val="21"/>
                <w:szCs w:val="21"/>
              </w:rPr>
              <w:t>plt</w:t>
            </w:r>
            <w:proofErr w:type="spellEnd"/>
          </w:p>
          <w:p w14:paraId="68F1B12A" w14:textId="77777777" w:rsidR="00651EBC" w:rsidRDefault="00000000">
            <w:pPr>
              <w:spacing w:after="20"/>
            </w:pPr>
            <w:r>
              <w:rPr>
                <w:rFonts w:ascii="Consolas" w:eastAsia="Consolas" w:hAnsi="Consolas" w:cs="Consolas"/>
                <w:color w:val="1B1B1B"/>
                <w:sz w:val="21"/>
                <w:szCs w:val="21"/>
              </w:rPr>
              <w:t xml:space="preserve">import seaborn as </w:t>
            </w:r>
            <w:proofErr w:type="spellStart"/>
            <w:r>
              <w:rPr>
                <w:rFonts w:ascii="Consolas" w:eastAsia="Consolas" w:hAnsi="Consolas" w:cs="Consolas"/>
                <w:color w:val="1B1B1B"/>
                <w:sz w:val="21"/>
                <w:szCs w:val="21"/>
              </w:rPr>
              <w:t>sns</w:t>
            </w:r>
            <w:proofErr w:type="spellEnd"/>
          </w:p>
          <w:p w14:paraId="1B268F95" w14:textId="77777777" w:rsidR="00651EBC" w:rsidRDefault="00000000">
            <w:pPr>
              <w:spacing w:after="20"/>
            </w:pPr>
            <w:r>
              <w:rPr>
                <w:rFonts w:ascii="Consolas" w:eastAsia="Consolas" w:hAnsi="Consolas" w:cs="Consolas"/>
                <w:color w:val="1B1B1B"/>
                <w:sz w:val="21"/>
                <w:szCs w:val="21"/>
              </w:rPr>
              <w:t xml:space="preserve"> </w:t>
            </w:r>
          </w:p>
          <w:p w14:paraId="315F17E7" w14:textId="77777777" w:rsidR="00651EBC" w:rsidRDefault="00000000">
            <w:pPr>
              <w:spacing w:after="20"/>
            </w:pPr>
            <w:proofErr w:type="spellStart"/>
            <w:r>
              <w:rPr>
                <w:rFonts w:ascii="Consolas" w:eastAsia="Consolas" w:hAnsi="Consolas" w:cs="Consolas"/>
                <w:color w:val="1B1B1B"/>
                <w:sz w:val="21"/>
                <w:szCs w:val="21"/>
              </w:rPr>
              <w:t>df</w:t>
            </w:r>
            <w:proofErr w:type="spellEnd"/>
            <w:r>
              <w:rPr>
                <w:rFonts w:ascii="Consolas" w:eastAsia="Consolas" w:hAnsi="Consolas" w:cs="Consolas"/>
                <w:color w:val="1B1B1B"/>
                <w:sz w:val="21"/>
                <w:szCs w:val="21"/>
              </w:rPr>
              <w:t xml:space="preserve"> = </w:t>
            </w:r>
            <w:proofErr w:type="spellStart"/>
            <w:r>
              <w:rPr>
                <w:rFonts w:ascii="Consolas" w:eastAsia="Consolas" w:hAnsi="Consolas" w:cs="Consolas"/>
                <w:color w:val="1B1B1B"/>
                <w:sz w:val="21"/>
                <w:szCs w:val="21"/>
              </w:rPr>
              <w:t>pd.read_excel</w:t>
            </w:r>
            <w:proofErr w:type="spellEnd"/>
            <w:r>
              <w:rPr>
                <w:rFonts w:ascii="Consolas" w:eastAsia="Consolas" w:hAnsi="Consolas" w:cs="Consolas"/>
                <w:color w:val="1B1B1B"/>
                <w:sz w:val="21"/>
                <w:szCs w:val="21"/>
              </w:rPr>
              <w:t>(</w:t>
            </w:r>
          </w:p>
          <w:p w14:paraId="2824CB6A" w14:textId="77777777" w:rsidR="00651EBC" w:rsidRDefault="00000000">
            <w:pPr>
              <w:spacing w:after="20"/>
            </w:pPr>
            <w:r>
              <w:rPr>
                <w:rFonts w:ascii="Consolas" w:eastAsia="Consolas" w:hAnsi="Consolas" w:cs="Consolas"/>
                <w:color w:val="1B1B1B"/>
                <w:sz w:val="21"/>
                <w:szCs w:val="21"/>
              </w:rPr>
              <w:t xml:space="preserve">    'WorldBank_IND_Dataset.xls',</w:t>
            </w:r>
          </w:p>
          <w:p w14:paraId="269C7AD3" w14:textId="77777777" w:rsidR="00651EBC" w:rsidRDefault="00000000">
            <w:pPr>
              <w:spacing w:after="20"/>
            </w:pPr>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sheet_name</w:t>
            </w:r>
            <w:proofErr w:type="spellEnd"/>
            <w:r>
              <w:rPr>
                <w:rFonts w:ascii="Consolas" w:eastAsia="Consolas" w:hAnsi="Consolas" w:cs="Consolas"/>
                <w:color w:val="1B1B1B"/>
                <w:sz w:val="21"/>
                <w:szCs w:val="21"/>
              </w:rPr>
              <w:t xml:space="preserve">='Data', </w:t>
            </w:r>
            <w:proofErr w:type="spellStart"/>
            <w:r>
              <w:rPr>
                <w:rFonts w:ascii="Consolas" w:eastAsia="Consolas" w:hAnsi="Consolas" w:cs="Consolas"/>
                <w:color w:val="1B1B1B"/>
                <w:sz w:val="21"/>
                <w:szCs w:val="21"/>
              </w:rPr>
              <w:t>skiprows</w:t>
            </w:r>
            <w:proofErr w:type="spellEnd"/>
            <w:r>
              <w:rPr>
                <w:rFonts w:ascii="Consolas" w:eastAsia="Consolas" w:hAnsi="Consolas" w:cs="Consolas"/>
                <w:color w:val="1B1B1B"/>
                <w:sz w:val="21"/>
                <w:szCs w:val="21"/>
              </w:rPr>
              <w:t>=3</w:t>
            </w:r>
          </w:p>
          <w:p w14:paraId="5C20B7E8" w14:textId="77777777" w:rsidR="00651EBC" w:rsidRDefault="00000000">
            <w:pPr>
              <w:spacing w:after="20"/>
            </w:pPr>
            <w:r>
              <w:rPr>
                <w:rFonts w:ascii="Consolas" w:eastAsia="Consolas" w:hAnsi="Consolas" w:cs="Consolas"/>
                <w:color w:val="1B1B1B"/>
                <w:sz w:val="21"/>
                <w:szCs w:val="21"/>
              </w:rPr>
              <w:t>)</w:t>
            </w:r>
          </w:p>
          <w:p w14:paraId="6E3C3584" w14:textId="77777777" w:rsidR="00651EBC" w:rsidRDefault="00000000">
            <w:pPr>
              <w:spacing w:after="20"/>
            </w:pPr>
            <w:proofErr w:type="spellStart"/>
            <w:r>
              <w:rPr>
                <w:rFonts w:ascii="Consolas" w:eastAsia="Consolas" w:hAnsi="Consolas" w:cs="Consolas"/>
                <w:color w:val="1B1B1B"/>
                <w:sz w:val="21"/>
                <w:szCs w:val="21"/>
              </w:rPr>
              <w:t>pd.set_option</w:t>
            </w:r>
            <w:proofErr w:type="spellEnd"/>
            <w:r>
              <w:rPr>
                <w:rFonts w:ascii="Consolas" w:eastAsia="Consolas" w:hAnsi="Consolas" w:cs="Consolas"/>
                <w:color w:val="1B1B1B"/>
                <w:sz w:val="21"/>
                <w:szCs w:val="21"/>
              </w:rPr>
              <w:t>("</w:t>
            </w:r>
            <w:proofErr w:type="spellStart"/>
            <w:r>
              <w:rPr>
                <w:rFonts w:ascii="Consolas" w:eastAsia="Consolas" w:hAnsi="Consolas" w:cs="Consolas"/>
                <w:color w:val="1B1B1B"/>
                <w:sz w:val="21"/>
                <w:szCs w:val="21"/>
              </w:rPr>
              <w:t>display.float_format</w:t>
            </w:r>
            <w:proofErr w:type="spellEnd"/>
            <w:r>
              <w:rPr>
                <w:rFonts w:ascii="Consolas" w:eastAsia="Consolas" w:hAnsi="Consolas" w:cs="Consolas"/>
                <w:color w:val="1B1B1B"/>
                <w:sz w:val="21"/>
                <w:szCs w:val="21"/>
              </w:rPr>
              <w:t>", "{:.2f}".format)</w:t>
            </w:r>
          </w:p>
        </w:tc>
      </w:tr>
    </w:tbl>
    <w:p w14:paraId="5CEFEDD9" w14:textId="77777777" w:rsidR="00651EBC" w:rsidRDefault="00000000">
      <w:pPr>
        <w:spacing w:after="160" w:line="276" w:lineRule="auto"/>
        <w:jc w:val="both"/>
      </w:pPr>
      <w:r>
        <w:t xml:space="preserve">The World Bank export has three metadata rows above the header, hence </w:t>
      </w:r>
      <w:proofErr w:type="spellStart"/>
      <w:r>
        <w:t>skiprows</w:t>
      </w:r>
      <w:proofErr w:type="spellEnd"/>
      <w:r>
        <w:t>=3. The float-format option only changes how numbers are displayed — the underlying precision used for analysis is unaffected.</w:t>
      </w:r>
    </w:p>
    <w:p w14:paraId="132A9BC5" w14:textId="77777777" w:rsidR="00A4225D" w:rsidRDefault="00A4225D">
      <w:pPr>
        <w:spacing w:after="160" w:line="276" w:lineRule="auto"/>
        <w:jc w:val="both"/>
      </w:pPr>
    </w:p>
    <w:p w14:paraId="6350A495" w14:textId="77777777" w:rsidR="00A4225D" w:rsidRDefault="00A4225D">
      <w:pPr>
        <w:spacing w:after="160" w:line="276" w:lineRule="auto"/>
        <w:jc w:val="both"/>
      </w:pPr>
    </w:p>
    <w:p w14:paraId="7B848DEC" w14:textId="77777777" w:rsidR="00651EBC" w:rsidRDefault="00000000">
      <w:pPr>
        <w:spacing w:before="160" w:after="60"/>
      </w:pPr>
      <w:r>
        <w:rPr>
          <w:b/>
          <w:bCs/>
          <w:i/>
          <w:iCs/>
          <w:color w:val="44546A"/>
          <w:sz w:val="22"/>
          <w:szCs w:val="22"/>
        </w:rPr>
        <w:t>Step 2 — Missing Value Assessment</w:t>
      </w:r>
    </w:p>
    <w:tbl>
      <w:tblPr>
        <w:tblW w:w="9360" w:type="dxa"/>
        <w:tblBorders>
          <w:top w:val="single" w:sz="4" w:space="0" w:color="9DB3C7"/>
          <w:left w:val="single" w:sz="18" w:space="0" w:color="1F3864"/>
          <w:bottom w:val="single" w:sz="4" w:space="0" w:color="9DB3C7"/>
          <w:right w:val="single" w:sz="4" w:space="0" w:color="9DB3C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51EBC" w14:paraId="3B548986" w14:textId="77777777">
        <w:tblPrEx>
          <w:tblCellMar>
            <w:top w:w="0" w:type="dxa"/>
            <w:bottom w:w="0" w:type="dxa"/>
          </w:tblCellMar>
        </w:tblPrEx>
        <w:trPr>
          <w:cantSplit/>
        </w:trPr>
        <w:tc>
          <w:tcPr>
            <w:tcW w:w="0" w:type="auto"/>
            <w:shd w:val="clear" w:color="auto" w:fill="F5F5F5"/>
            <w:tcMar>
              <w:top w:w="160" w:type="dxa"/>
              <w:left w:w="220" w:type="dxa"/>
              <w:bottom w:w="160" w:type="dxa"/>
              <w:right w:w="220" w:type="dxa"/>
            </w:tcMar>
          </w:tcPr>
          <w:p w14:paraId="27458CC0" w14:textId="77777777" w:rsidR="00651EBC" w:rsidRDefault="00000000">
            <w:pPr>
              <w:spacing w:after="20"/>
            </w:pPr>
            <w:proofErr w:type="spellStart"/>
            <w:r>
              <w:rPr>
                <w:rFonts w:ascii="Consolas" w:eastAsia="Consolas" w:hAnsi="Consolas" w:cs="Consolas"/>
                <w:color w:val="1B1B1B"/>
                <w:sz w:val="21"/>
                <w:szCs w:val="21"/>
              </w:rPr>
              <w:t>year_cols</w:t>
            </w:r>
            <w:proofErr w:type="spellEnd"/>
            <w:r>
              <w:rPr>
                <w:rFonts w:ascii="Consolas" w:eastAsia="Consolas" w:hAnsi="Consolas" w:cs="Consolas"/>
                <w:color w:val="1B1B1B"/>
                <w:sz w:val="21"/>
                <w:szCs w:val="21"/>
              </w:rPr>
              <w:t xml:space="preserve"> = </w:t>
            </w:r>
            <w:proofErr w:type="spellStart"/>
            <w:r>
              <w:rPr>
                <w:rFonts w:ascii="Consolas" w:eastAsia="Consolas" w:hAnsi="Consolas" w:cs="Consolas"/>
                <w:color w:val="1B1B1B"/>
                <w:sz w:val="21"/>
                <w:szCs w:val="21"/>
              </w:rPr>
              <w:t>df.loc</w:t>
            </w:r>
            <w:proofErr w:type="spellEnd"/>
            <w:r>
              <w:rPr>
                <w:rFonts w:ascii="Consolas" w:eastAsia="Consolas" w:hAnsi="Consolas" w:cs="Consolas"/>
                <w:color w:val="1B1B1B"/>
                <w:sz w:val="21"/>
                <w:szCs w:val="21"/>
              </w:rPr>
              <w:t>[:, '2014':'2025'].columns</w:t>
            </w:r>
          </w:p>
          <w:p w14:paraId="32355886" w14:textId="77777777" w:rsidR="00651EBC" w:rsidRDefault="00000000">
            <w:pPr>
              <w:spacing w:after="20"/>
            </w:pPr>
            <w:proofErr w:type="spellStart"/>
            <w:r>
              <w:rPr>
                <w:rFonts w:ascii="Consolas" w:eastAsia="Consolas" w:hAnsi="Consolas" w:cs="Consolas"/>
                <w:color w:val="1B1B1B"/>
                <w:sz w:val="21"/>
                <w:szCs w:val="21"/>
              </w:rPr>
              <w:t>missing_values</w:t>
            </w:r>
            <w:proofErr w:type="spellEnd"/>
            <w:r>
              <w:rPr>
                <w:rFonts w:ascii="Consolas" w:eastAsia="Consolas" w:hAnsi="Consolas" w:cs="Consolas"/>
                <w:color w:val="1B1B1B"/>
                <w:sz w:val="21"/>
                <w:szCs w:val="21"/>
              </w:rPr>
              <w:t xml:space="preserve"> = </w:t>
            </w:r>
            <w:proofErr w:type="spellStart"/>
            <w:r>
              <w:rPr>
                <w:rFonts w:ascii="Consolas" w:eastAsia="Consolas" w:hAnsi="Consolas" w:cs="Consolas"/>
                <w:color w:val="1B1B1B"/>
                <w:sz w:val="21"/>
                <w:szCs w:val="21"/>
              </w:rPr>
              <w:t>df</w:t>
            </w:r>
            <w:proofErr w:type="spellEnd"/>
            <w:r>
              <w:rPr>
                <w:rFonts w:ascii="Consolas" w:eastAsia="Consolas" w:hAnsi="Consolas" w:cs="Consolas"/>
                <w:color w:val="1B1B1B"/>
                <w:sz w:val="21"/>
                <w:szCs w:val="21"/>
              </w:rPr>
              <w:t>[</w:t>
            </w:r>
            <w:proofErr w:type="spellStart"/>
            <w:r>
              <w:rPr>
                <w:rFonts w:ascii="Consolas" w:eastAsia="Consolas" w:hAnsi="Consolas" w:cs="Consolas"/>
                <w:color w:val="1B1B1B"/>
                <w:sz w:val="21"/>
                <w:szCs w:val="21"/>
              </w:rPr>
              <w:t>year_cols</w:t>
            </w:r>
            <w:proofErr w:type="spellEnd"/>
            <w:r>
              <w:rPr>
                <w:rFonts w:ascii="Consolas" w:eastAsia="Consolas" w:hAnsi="Consolas" w:cs="Consolas"/>
                <w:color w:val="1B1B1B"/>
                <w:sz w:val="21"/>
                <w:szCs w:val="21"/>
              </w:rPr>
              <w:t>].</w:t>
            </w:r>
            <w:proofErr w:type="spellStart"/>
            <w:r>
              <w:rPr>
                <w:rFonts w:ascii="Consolas" w:eastAsia="Consolas" w:hAnsi="Consolas" w:cs="Consolas"/>
                <w:color w:val="1B1B1B"/>
                <w:sz w:val="21"/>
                <w:szCs w:val="21"/>
              </w:rPr>
              <w:t>isna</w:t>
            </w:r>
            <w:proofErr w:type="spellEnd"/>
            <w:r>
              <w:rPr>
                <w:rFonts w:ascii="Consolas" w:eastAsia="Consolas" w:hAnsi="Consolas" w:cs="Consolas"/>
                <w:color w:val="1B1B1B"/>
                <w:sz w:val="21"/>
                <w:szCs w:val="21"/>
              </w:rPr>
              <w:t>().sum()</w:t>
            </w:r>
          </w:p>
          <w:p w14:paraId="4391DE0D" w14:textId="77777777" w:rsidR="00651EBC" w:rsidRDefault="00000000">
            <w:pPr>
              <w:spacing w:after="20"/>
            </w:pPr>
            <w:proofErr w:type="spellStart"/>
            <w:r>
              <w:rPr>
                <w:rFonts w:ascii="Consolas" w:eastAsia="Consolas" w:hAnsi="Consolas" w:cs="Consolas"/>
                <w:color w:val="1B1B1B"/>
                <w:sz w:val="21"/>
                <w:szCs w:val="21"/>
              </w:rPr>
              <w:t>missing_percentage</w:t>
            </w:r>
            <w:proofErr w:type="spellEnd"/>
            <w:r>
              <w:rPr>
                <w:rFonts w:ascii="Consolas" w:eastAsia="Consolas" w:hAnsi="Consolas" w:cs="Consolas"/>
                <w:color w:val="1B1B1B"/>
                <w:sz w:val="21"/>
                <w:szCs w:val="21"/>
              </w:rPr>
              <w:t xml:space="preserve"> = </w:t>
            </w:r>
            <w:proofErr w:type="spellStart"/>
            <w:r>
              <w:rPr>
                <w:rFonts w:ascii="Consolas" w:eastAsia="Consolas" w:hAnsi="Consolas" w:cs="Consolas"/>
                <w:color w:val="1B1B1B"/>
                <w:sz w:val="21"/>
                <w:szCs w:val="21"/>
              </w:rPr>
              <w:t>missing_values</w:t>
            </w:r>
            <w:proofErr w:type="spellEnd"/>
            <w:r>
              <w:rPr>
                <w:rFonts w:ascii="Consolas" w:eastAsia="Consolas" w:hAnsi="Consolas" w:cs="Consolas"/>
                <w:color w:val="1B1B1B"/>
                <w:sz w:val="21"/>
                <w:szCs w:val="21"/>
              </w:rPr>
              <w:t xml:space="preserve"> / </w:t>
            </w:r>
            <w:proofErr w:type="spellStart"/>
            <w:r>
              <w:rPr>
                <w:rFonts w:ascii="Consolas" w:eastAsia="Consolas" w:hAnsi="Consolas" w:cs="Consolas"/>
                <w:color w:val="1B1B1B"/>
                <w:sz w:val="21"/>
                <w:szCs w:val="21"/>
              </w:rPr>
              <w:t>len</w:t>
            </w:r>
            <w:proofErr w:type="spellEnd"/>
            <w:r>
              <w:rPr>
                <w:rFonts w:ascii="Consolas" w:eastAsia="Consolas" w:hAnsi="Consolas" w:cs="Consolas"/>
                <w:color w:val="1B1B1B"/>
                <w:sz w:val="21"/>
                <w:szCs w:val="21"/>
              </w:rPr>
              <w:t>(</w:t>
            </w:r>
            <w:proofErr w:type="spellStart"/>
            <w:r>
              <w:rPr>
                <w:rFonts w:ascii="Consolas" w:eastAsia="Consolas" w:hAnsi="Consolas" w:cs="Consolas"/>
                <w:color w:val="1B1B1B"/>
                <w:sz w:val="21"/>
                <w:szCs w:val="21"/>
              </w:rPr>
              <w:t>df</w:t>
            </w:r>
            <w:proofErr w:type="spellEnd"/>
            <w:r>
              <w:rPr>
                <w:rFonts w:ascii="Consolas" w:eastAsia="Consolas" w:hAnsi="Consolas" w:cs="Consolas"/>
                <w:color w:val="1B1B1B"/>
                <w:sz w:val="21"/>
                <w:szCs w:val="21"/>
              </w:rPr>
              <w:t>[</w:t>
            </w:r>
            <w:proofErr w:type="spellStart"/>
            <w:r>
              <w:rPr>
                <w:rFonts w:ascii="Consolas" w:eastAsia="Consolas" w:hAnsi="Consolas" w:cs="Consolas"/>
                <w:color w:val="1B1B1B"/>
                <w:sz w:val="21"/>
                <w:szCs w:val="21"/>
              </w:rPr>
              <w:t>year_cols</w:t>
            </w:r>
            <w:proofErr w:type="spellEnd"/>
            <w:r>
              <w:rPr>
                <w:rFonts w:ascii="Consolas" w:eastAsia="Consolas" w:hAnsi="Consolas" w:cs="Consolas"/>
                <w:color w:val="1B1B1B"/>
                <w:sz w:val="21"/>
                <w:szCs w:val="21"/>
              </w:rPr>
              <w:t>]) * 100</w:t>
            </w:r>
          </w:p>
          <w:p w14:paraId="4E007C9A" w14:textId="77777777" w:rsidR="00651EBC" w:rsidRDefault="00000000">
            <w:pPr>
              <w:spacing w:after="20"/>
            </w:pPr>
            <w:r>
              <w:rPr>
                <w:rFonts w:ascii="Consolas" w:eastAsia="Consolas" w:hAnsi="Consolas" w:cs="Consolas"/>
                <w:color w:val="1B1B1B"/>
                <w:sz w:val="21"/>
                <w:szCs w:val="21"/>
              </w:rPr>
              <w:t xml:space="preserve"> </w:t>
            </w:r>
          </w:p>
          <w:p w14:paraId="03B8FEA9" w14:textId="77777777" w:rsidR="00651EBC" w:rsidRDefault="00000000">
            <w:pPr>
              <w:spacing w:after="20"/>
            </w:pPr>
            <w:proofErr w:type="spellStart"/>
            <w:r>
              <w:rPr>
                <w:rFonts w:ascii="Consolas" w:eastAsia="Consolas" w:hAnsi="Consolas" w:cs="Consolas"/>
                <w:color w:val="1B1B1B"/>
                <w:sz w:val="21"/>
                <w:szCs w:val="21"/>
              </w:rPr>
              <w:t>pd.DataFrame</w:t>
            </w:r>
            <w:proofErr w:type="spellEnd"/>
            <w:r>
              <w:rPr>
                <w:rFonts w:ascii="Consolas" w:eastAsia="Consolas" w:hAnsi="Consolas" w:cs="Consolas"/>
                <w:color w:val="1B1B1B"/>
                <w:sz w:val="21"/>
                <w:szCs w:val="21"/>
              </w:rPr>
              <w:t>({</w:t>
            </w:r>
          </w:p>
          <w:p w14:paraId="6B0E3D48" w14:textId="77777777" w:rsidR="00651EBC" w:rsidRDefault="00000000">
            <w:pPr>
              <w:spacing w:after="20"/>
            </w:pPr>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missing_values</w:t>
            </w:r>
            <w:proofErr w:type="spellEnd"/>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missing_values</w:t>
            </w:r>
            <w:proofErr w:type="spellEnd"/>
            <w:r>
              <w:rPr>
                <w:rFonts w:ascii="Consolas" w:eastAsia="Consolas" w:hAnsi="Consolas" w:cs="Consolas"/>
                <w:color w:val="1B1B1B"/>
                <w:sz w:val="21"/>
                <w:szCs w:val="21"/>
              </w:rPr>
              <w:t>,</w:t>
            </w:r>
          </w:p>
          <w:p w14:paraId="1C51F396" w14:textId="77777777" w:rsidR="00651EBC" w:rsidRDefault="00000000">
            <w:pPr>
              <w:spacing w:after="20"/>
            </w:pPr>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missing_percentage</w:t>
            </w:r>
            <w:proofErr w:type="spellEnd"/>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missing_percentage</w:t>
            </w:r>
            <w:proofErr w:type="spellEnd"/>
          </w:p>
          <w:p w14:paraId="0EFA81DC" w14:textId="77777777" w:rsidR="00651EBC" w:rsidRDefault="00000000">
            <w:pPr>
              <w:spacing w:after="20"/>
            </w:pPr>
            <w:r>
              <w:rPr>
                <w:rFonts w:ascii="Consolas" w:eastAsia="Consolas" w:hAnsi="Consolas" w:cs="Consolas"/>
                <w:color w:val="1B1B1B"/>
                <w:sz w:val="21"/>
                <w:szCs w:val="21"/>
              </w:rPr>
              <w:t>})</w:t>
            </w:r>
          </w:p>
        </w:tc>
      </w:tr>
    </w:tbl>
    <w:p w14:paraId="352CA0CA" w14:textId="77777777" w:rsidR="00651EBC" w:rsidRDefault="00000000">
      <w:pPr>
        <w:spacing w:after="160" w:line="276" w:lineRule="auto"/>
        <w:jc w:val="both"/>
      </w:pPr>
      <w:r>
        <w:t>This quantified how much of the 2014–2025 window was missing per year across all 1,510 indicators, and informed the decision (Section 3.2) to retain rather than impute missing values.</w:t>
      </w:r>
    </w:p>
    <w:p w14:paraId="0F73941D" w14:textId="77777777" w:rsidR="00A4225D" w:rsidRDefault="00A4225D">
      <w:pPr>
        <w:spacing w:before="160" w:after="60"/>
        <w:rPr>
          <w:b/>
          <w:bCs/>
          <w:i/>
          <w:iCs/>
          <w:color w:val="44546A"/>
          <w:sz w:val="22"/>
          <w:szCs w:val="22"/>
        </w:rPr>
      </w:pPr>
    </w:p>
    <w:p w14:paraId="5ABC0CBE" w14:textId="77777777" w:rsidR="00A4225D" w:rsidRDefault="00A4225D">
      <w:pPr>
        <w:spacing w:before="160" w:after="60"/>
        <w:rPr>
          <w:b/>
          <w:bCs/>
          <w:i/>
          <w:iCs/>
          <w:color w:val="44546A"/>
          <w:sz w:val="22"/>
          <w:szCs w:val="22"/>
        </w:rPr>
      </w:pPr>
    </w:p>
    <w:p w14:paraId="23C1103B" w14:textId="77777777" w:rsidR="00A4225D" w:rsidRDefault="00A4225D">
      <w:pPr>
        <w:spacing w:before="160" w:after="60"/>
        <w:rPr>
          <w:b/>
          <w:bCs/>
          <w:i/>
          <w:iCs/>
          <w:color w:val="44546A"/>
          <w:sz w:val="22"/>
          <w:szCs w:val="22"/>
        </w:rPr>
      </w:pPr>
    </w:p>
    <w:p w14:paraId="3553AFB9" w14:textId="77777777" w:rsidR="00A4225D" w:rsidRDefault="00A4225D">
      <w:pPr>
        <w:spacing w:before="160" w:after="60"/>
        <w:rPr>
          <w:b/>
          <w:bCs/>
          <w:i/>
          <w:iCs/>
          <w:color w:val="44546A"/>
          <w:sz w:val="22"/>
          <w:szCs w:val="22"/>
        </w:rPr>
      </w:pPr>
    </w:p>
    <w:p w14:paraId="367FAC4A" w14:textId="77777777" w:rsidR="00A4225D" w:rsidRDefault="00A4225D">
      <w:pPr>
        <w:spacing w:before="160" w:after="60"/>
        <w:rPr>
          <w:b/>
          <w:bCs/>
          <w:i/>
          <w:iCs/>
          <w:color w:val="44546A"/>
          <w:sz w:val="22"/>
          <w:szCs w:val="22"/>
        </w:rPr>
      </w:pPr>
    </w:p>
    <w:p w14:paraId="61DFB96D" w14:textId="77777777" w:rsidR="00A4225D" w:rsidRDefault="00A4225D">
      <w:pPr>
        <w:spacing w:before="160" w:after="60"/>
        <w:rPr>
          <w:b/>
          <w:bCs/>
          <w:i/>
          <w:iCs/>
          <w:color w:val="44546A"/>
          <w:sz w:val="22"/>
          <w:szCs w:val="22"/>
        </w:rPr>
      </w:pPr>
    </w:p>
    <w:p w14:paraId="59A0784D" w14:textId="77777777" w:rsidR="00A4225D" w:rsidRDefault="00A4225D">
      <w:pPr>
        <w:spacing w:before="160" w:after="60"/>
        <w:rPr>
          <w:b/>
          <w:bCs/>
          <w:i/>
          <w:iCs/>
          <w:color w:val="44546A"/>
          <w:sz w:val="22"/>
          <w:szCs w:val="22"/>
        </w:rPr>
      </w:pPr>
    </w:p>
    <w:p w14:paraId="71CEA68B" w14:textId="77777777" w:rsidR="00A4225D" w:rsidRDefault="00A4225D">
      <w:pPr>
        <w:spacing w:before="160" w:after="60"/>
        <w:rPr>
          <w:b/>
          <w:bCs/>
          <w:i/>
          <w:iCs/>
          <w:color w:val="44546A"/>
          <w:sz w:val="22"/>
          <w:szCs w:val="22"/>
        </w:rPr>
      </w:pPr>
    </w:p>
    <w:p w14:paraId="3D7F2F67" w14:textId="77777777" w:rsidR="00A4225D" w:rsidRDefault="00A4225D">
      <w:pPr>
        <w:spacing w:before="160" w:after="60"/>
        <w:rPr>
          <w:b/>
          <w:bCs/>
          <w:i/>
          <w:iCs/>
          <w:color w:val="44546A"/>
          <w:sz w:val="22"/>
          <w:szCs w:val="22"/>
        </w:rPr>
      </w:pPr>
    </w:p>
    <w:p w14:paraId="0C212753" w14:textId="1FD80687" w:rsidR="00651EBC" w:rsidRDefault="00000000">
      <w:pPr>
        <w:spacing w:before="160" w:after="60"/>
      </w:pPr>
      <w:r>
        <w:rPr>
          <w:b/>
          <w:bCs/>
          <w:i/>
          <w:iCs/>
          <w:color w:val="44546A"/>
          <w:sz w:val="22"/>
          <w:szCs w:val="22"/>
        </w:rPr>
        <w:lastRenderedPageBreak/>
        <w:t>Step 3 — Indicator Categorisation</w:t>
      </w:r>
    </w:p>
    <w:tbl>
      <w:tblPr>
        <w:tblW w:w="9215" w:type="dxa"/>
        <w:tblBorders>
          <w:top w:val="single" w:sz="4" w:space="0" w:color="9DB3C7"/>
          <w:left w:val="single" w:sz="18" w:space="0" w:color="1F3864"/>
          <w:bottom w:val="single" w:sz="4" w:space="0" w:color="9DB3C7"/>
          <w:right w:val="single" w:sz="4" w:space="0" w:color="9DB3C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215"/>
      </w:tblGrid>
      <w:tr w:rsidR="00651EBC" w14:paraId="1228C0D3" w14:textId="77777777" w:rsidTr="00A4225D">
        <w:tblPrEx>
          <w:tblCellMar>
            <w:top w:w="0" w:type="dxa"/>
            <w:bottom w:w="0" w:type="dxa"/>
          </w:tblCellMar>
        </w:tblPrEx>
        <w:trPr>
          <w:cantSplit/>
          <w:trHeight w:val="3221"/>
        </w:trPr>
        <w:tc>
          <w:tcPr>
            <w:tcW w:w="0" w:type="auto"/>
            <w:shd w:val="clear" w:color="auto" w:fill="F5F5F5"/>
            <w:tcMar>
              <w:top w:w="160" w:type="dxa"/>
              <w:left w:w="220" w:type="dxa"/>
              <w:bottom w:w="160" w:type="dxa"/>
              <w:right w:w="220" w:type="dxa"/>
            </w:tcMar>
          </w:tcPr>
          <w:p w14:paraId="6EEE48A2" w14:textId="77777777" w:rsidR="00651EBC" w:rsidRDefault="00000000">
            <w:pPr>
              <w:spacing w:after="20"/>
            </w:pPr>
            <w:r>
              <w:rPr>
                <w:rFonts w:ascii="Consolas" w:eastAsia="Consolas" w:hAnsi="Consolas" w:cs="Consolas"/>
                <w:color w:val="1B1B1B"/>
                <w:sz w:val="21"/>
                <w:szCs w:val="21"/>
              </w:rPr>
              <w:t>categories = {</w:t>
            </w:r>
          </w:p>
          <w:p w14:paraId="46655282" w14:textId="77777777" w:rsidR="00651EBC" w:rsidRDefault="00000000">
            <w:pPr>
              <w:spacing w:after="20"/>
            </w:pPr>
            <w:r>
              <w:rPr>
                <w:rFonts w:ascii="Consolas" w:eastAsia="Consolas" w:hAnsi="Consolas" w:cs="Consolas"/>
                <w:color w:val="1B1B1B"/>
                <w:sz w:val="21"/>
                <w:szCs w:val="21"/>
              </w:rPr>
              <w:t xml:space="preserve">    "GDP": ["GDP", "Gross domestic product"],</w:t>
            </w:r>
          </w:p>
          <w:p w14:paraId="381B0F2E" w14:textId="77777777" w:rsidR="00651EBC" w:rsidRDefault="00000000">
            <w:pPr>
              <w:spacing w:after="20"/>
            </w:pPr>
            <w:r>
              <w:rPr>
                <w:rFonts w:ascii="Consolas" w:eastAsia="Consolas" w:hAnsi="Consolas" w:cs="Consolas"/>
                <w:color w:val="1B1B1B"/>
                <w:sz w:val="21"/>
                <w:szCs w:val="21"/>
              </w:rPr>
              <w:t xml:space="preserve">    "Inflation": ["Inflation", "Consumer price",</w:t>
            </w:r>
          </w:p>
          <w:p w14:paraId="01223C45" w14:textId="77777777" w:rsidR="00651EBC" w:rsidRDefault="00000000">
            <w:pPr>
              <w:spacing w:after="20"/>
            </w:pPr>
            <w:r>
              <w:rPr>
                <w:rFonts w:ascii="Consolas" w:eastAsia="Consolas" w:hAnsi="Consolas" w:cs="Consolas"/>
                <w:color w:val="1B1B1B"/>
                <w:sz w:val="21"/>
                <w:szCs w:val="21"/>
              </w:rPr>
              <w:t xml:space="preserve">                   "GDP deflator"],</w:t>
            </w:r>
          </w:p>
          <w:p w14:paraId="196ECD67" w14:textId="77777777" w:rsidR="00651EBC" w:rsidRDefault="00000000">
            <w:pPr>
              <w:spacing w:after="20"/>
            </w:pPr>
            <w:r>
              <w:rPr>
                <w:rFonts w:ascii="Consolas" w:eastAsia="Consolas" w:hAnsi="Consolas" w:cs="Consolas"/>
                <w:color w:val="1B1B1B"/>
                <w:sz w:val="21"/>
                <w:szCs w:val="21"/>
              </w:rPr>
              <w:t xml:space="preserve">    "Trade": ["Export", "Import"],</w:t>
            </w:r>
          </w:p>
          <w:p w14:paraId="4ACAB3F2" w14:textId="77777777" w:rsidR="00651EBC" w:rsidRDefault="00000000">
            <w:pPr>
              <w:spacing w:after="20"/>
            </w:pPr>
            <w:r>
              <w:rPr>
                <w:rFonts w:ascii="Consolas" w:eastAsia="Consolas" w:hAnsi="Consolas" w:cs="Consolas"/>
                <w:color w:val="1B1B1B"/>
                <w:sz w:val="21"/>
                <w:szCs w:val="21"/>
              </w:rPr>
              <w:t xml:space="preserve">    "Employment": ["Employment", "Unemployment",</w:t>
            </w:r>
          </w:p>
          <w:p w14:paraId="5D6633DA" w14:textId="77777777" w:rsidR="00651EBC" w:rsidRDefault="00000000">
            <w:pPr>
              <w:spacing w:after="20"/>
            </w:pPr>
            <w:r>
              <w:rPr>
                <w:rFonts w:ascii="Consolas" w:eastAsia="Consolas" w:hAnsi="Consolas" w:cs="Consolas"/>
                <w:color w:val="1B1B1B"/>
                <w:sz w:val="21"/>
                <w:szCs w:val="21"/>
              </w:rPr>
              <w:t xml:space="preserve">                    "Labor force"],</w:t>
            </w:r>
          </w:p>
          <w:p w14:paraId="34E007C4" w14:textId="77777777" w:rsidR="00651EBC" w:rsidRDefault="00000000">
            <w:pPr>
              <w:spacing w:after="20"/>
            </w:pPr>
            <w:r>
              <w:rPr>
                <w:rFonts w:ascii="Consolas" w:eastAsia="Consolas" w:hAnsi="Consolas" w:cs="Consolas"/>
                <w:color w:val="1B1B1B"/>
                <w:sz w:val="21"/>
                <w:szCs w:val="21"/>
              </w:rPr>
              <w:t xml:space="preserve">    "Investment": ["Foreign direct investment",</w:t>
            </w:r>
          </w:p>
          <w:p w14:paraId="1196AE51" w14:textId="77777777" w:rsidR="00651EBC" w:rsidRDefault="00000000">
            <w:pPr>
              <w:spacing w:after="20"/>
            </w:pPr>
            <w:r>
              <w:rPr>
                <w:rFonts w:ascii="Consolas" w:eastAsia="Consolas" w:hAnsi="Consolas" w:cs="Consolas"/>
                <w:color w:val="1B1B1B"/>
                <w:sz w:val="21"/>
                <w:szCs w:val="21"/>
              </w:rPr>
              <w:t xml:space="preserve">                    "Gross capital formation", "Investment"],</w:t>
            </w:r>
          </w:p>
          <w:p w14:paraId="5CAA112C" w14:textId="77777777" w:rsidR="00651EBC" w:rsidRDefault="00000000">
            <w:pPr>
              <w:spacing w:after="20"/>
            </w:pPr>
            <w:r>
              <w:rPr>
                <w:rFonts w:ascii="Consolas" w:eastAsia="Consolas" w:hAnsi="Consolas" w:cs="Consolas"/>
                <w:color w:val="1B1B1B"/>
                <w:sz w:val="21"/>
                <w:szCs w:val="21"/>
              </w:rPr>
              <w:t xml:space="preserve">    "Human Capital Investment": ["Human Capital",</w:t>
            </w:r>
          </w:p>
          <w:p w14:paraId="0361A439" w14:textId="77777777" w:rsidR="00651EBC" w:rsidRDefault="00000000">
            <w:pPr>
              <w:spacing w:after="20"/>
            </w:pPr>
            <w:r>
              <w:rPr>
                <w:rFonts w:ascii="Consolas" w:eastAsia="Consolas" w:hAnsi="Consolas" w:cs="Consolas"/>
                <w:color w:val="1B1B1B"/>
                <w:sz w:val="21"/>
                <w:szCs w:val="21"/>
              </w:rPr>
              <w:t xml:space="preserve">                    "Investment on human capital"]</w:t>
            </w:r>
          </w:p>
          <w:p w14:paraId="53E5CD03" w14:textId="77777777" w:rsidR="00651EBC" w:rsidRDefault="00000000">
            <w:pPr>
              <w:spacing w:after="20"/>
            </w:pPr>
            <w:r>
              <w:rPr>
                <w:rFonts w:ascii="Consolas" w:eastAsia="Consolas" w:hAnsi="Consolas" w:cs="Consolas"/>
                <w:color w:val="1B1B1B"/>
                <w:sz w:val="21"/>
                <w:szCs w:val="21"/>
              </w:rPr>
              <w:t>}</w:t>
            </w:r>
          </w:p>
          <w:p w14:paraId="31F6CFAC" w14:textId="77777777" w:rsidR="00651EBC" w:rsidRDefault="00000000">
            <w:pPr>
              <w:spacing w:after="20"/>
            </w:pPr>
            <w:r>
              <w:rPr>
                <w:rFonts w:ascii="Consolas" w:eastAsia="Consolas" w:hAnsi="Consolas" w:cs="Consolas"/>
                <w:color w:val="1B1B1B"/>
                <w:sz w:val="21"/>
                <w:szCs w:val="21"/>
              </w:rPr>
              <w:t xml:space="preserve"> </w:t>
            </w:r>
          </w:p>
          <w:p w14:paraId="6489BC52" w14:textId="77777777" w:rsidR="00651EBC" w:rsidRDefault="00000000">
            <w:pPr>
              <w:spacing w:after="20"/>
            </w:pPr>
            <w:proofErr w:type="spellStart"/>
            <w:r>
              <w:rPr>
                <w:rFonts w:ascii="Consolas" w:eastAsia="Consolas" w:hAnsi="Consolas" w:cs="Consolas"/>
                <w:color w:val="1B1B1B"/>
                <w:sz w:val="21"/>
                <w:szCs w:val="21"/>
              </w:rPr>
              <w:t>indicator_groups</w:t>
            </w:r>
            <w:proofErr w:type="spellEnd"/>
            <w:r>
              <w:rPr>
                <w:rFonts w:ascii="Consolas" w:eastAsia="Consolas" w:hAnsi="Consolas" w:cs="Consolas"/>
                <w:color w:val="1B1B1B"/>
                <w:sz w:val="21"/>
                <w:szCs w:val="21"/>
              </w:rPr>
              <w:t xml:space="preserve"> = {}</w:t>
            </w:r>
          </w:p>
          <w:p w14:paraId="130A7088" w14:textId="77777777" w:rsidR="00651EBC" w:rsidRDefault="00000000">
            <w:pPr>
              <w:spacing w:after="20"/>
            </w:pPr>
            <w:r>
              <w:rPr>
                <w:rFonts w:ascii="Consolas" w:eastAsia="Consolas" w:hAnsi="Consolas" w:cs="Consolas"/>
                <w:color w:val="1B1B1B"/>
                <w:sz w:val="21"/>
                <w:szCs w:val="21"/>
              </w:rPr>
              <w:t xml:space="preserve">for category, keywords in </w:t>
            </w:r>
            <w:proofErr w:type="spellStart"/>
            <w:r>
              <w:rPr>
                <w:rFonts w:ascii="Consolas" w:eastAsia="Consolas" w:hAnsi="Consolas" w:cs="Consolas"/>
                <w:color w:val="1B1B1B"/>
                <w:sz w:val="21"/>
                <w:szCs w:val="21"/>
              </w:rPr>
              <w:t>categories.items</w:t>
            </w:r>
            <w:proofErr w:type="spellEnd"/>
            <w:r>
              <w:rPr>
                <w:rFonts w:ascii="Consolas" w:eastAsia="Consolas" w:hAnsi="Consolas" w:cs="Consolas"/>
                <w:color w:val="1B1B1B"/>
                <w:sz w:val="21"/>
                <w:szCs w:val="21"/>
              </w:rPr>
              <w:t>():</w:t>
            </w:r>
          </w:p>
          <w:p w14:paraId="128BC39C" w14:textId="77777777" w:rsidR="00651EBC" w:rsidRDefault="00000000">
            <w:pPr>
              <w:spacing w:after="20"/>
            </w:pPr>
            <w:r>
              <w:rPr>
                <w:rFonts w:ascii="Consolas" w:eastAsia="Consolas" w:hAnsi="Consolas" w:cs="Consolas"/>
                <w:color w:val="1B1B1B"/>
                <w:sz w:val="21"/>
                <w:szCs w:val="21"/>
              </w:rPr>
              <w:t xml:space="preserve">    pattern = </w:t>
            </w:r>
            <w:proofErr w:type="spellStart"/>
            <w:r>
              <w:rPr>
                <w:rFonts w:ascii="Consolas" w:eastAsia="Consolas" w:hAnsi="Consolas" w:cs="Consolas"/>
                <w:color w:val="1B1B1B"/>
                <w:sz w:val="21"/>
                <w:szCs w:val="21"/>
              </w:rPr>
              <w:t>r'|'.join</w:t>
            </w:r>
            <w:proofErr w:type="spellEnd"/>
            <w:r>
              <w:rPr>
                <w:rFonts w:ascii="Consolas" w:eastAsia="Consolas" w:hAnsi="Consolas" w:cs="Consolas"/>
                <w:color w:val="1B1B1B"/>
                <w:sz w:val="21"/>
                <w:szCs w:val="21"/>
              </w:rPr>
              <w:t>(keywords)</w:t>
            </w:r>
          </w:p>
          <w:p w14:paraId="16DC05FA" w14:textId="77777777" w:rsidR="00651EBC" w:rsidRDefault="00000000">
            <w:pPr>
              <w:spacing w:after="20"/>
            </w:pPr>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indicator_groups</w:t>
            </w:r>
            <w:proofErr w:type="spellEnd"/>
            <w:r>
              <w:rPr>
                <w:rFonts w:ascii="Consolas" w:eastAsia="Consolas" w:hAnsi="Consolas" w:cs="Consolas"/>
                <w:color w:val="1B1B1B"/>
                <w:sz w:val="21"/>
                <w:szCs w:val="21"/>
              </w:rPr>
              <w:t xml:space="preserve">[category] = </w:t>
            </w:r>
            <w:proofErr w:type="spellStart"/>
            <w:r>
              <w:rPr>
                <w:rFonts w:ascii="Consolas" w:eastAsia="Consolas" w:hAnsi="Consolas" w:cs="Consolas"/>
                <w:color w:val="1B1B1B"/>
                <w:sz w:val="21"/>
                <w:szCs w:val="21"/>
              </w:rPr>
              <w:t>main_df</w:t>
            </w:r>
            <w:proofErr w:type="spellEnd"/>
            <w:r>
              <w:rPr>
                <w:rFonts w:ascii="Consolas" w:eastAsia="Consolas" w:hAnsi="Consolas" w:cs="Consolas"/>
                <w:color w:val="1B1B1B"/>
                <w:sz w:val="21"/>
                <w:szCs w:val="21"/>
              </w:rPr>
              <w:t>[</w:t>
            </w:r>
          </w:p>
          <w:p w14:paraId="11DDF42E" w14:textId="77777777" w:rsidR="00651EBC" w:rsidRDefault="00000000">
            <w:pPr>
              <w:spacing w:after="20"/>
            </w:pPr>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main_df</w:t>
            </w:r>
            <w:proofErr w:type="spellEnd"/>
            <w:r>
              <w:rPr>
                <w:rFonts w:ascii="Consolas" w:eastAsia="Consolas" w:hAnsi="Consolas" w:cs="Consolas"/>
                <w:color w:val="1B1B1B"/>
                <w:sz w:val="21"/>
                <w:szCs w:val="21"/>
              </w:rPr>
              <w:t>["Indicator Name"].</w:t>
            </w:r>
            <w:proofErr w:type="spellStart"/>
            <w:r>
              <w:rPr>
                <w:rFonts w:ascii="Consolas" w:eastAsia="Consolas" w:hAnsi="Consolas" w:cs="Consolas"/>
                <w:color w:val="1B1B1B"/>
                <w:sz w:val="21"/>
                <w:szCs w:val="21"/>
              </w:rPr>
              <w:t>str.contains</w:t>
            </w:r>
            <w:proofErr w:type="spellEnd"/>
            <w:r>
              <w:rPr>
                <w:rFonts w:ascii="Consolas" w:eastAsia="Consolas" w:hAnsi="Consolas" w:cs="Consolas"/>
                <w:color w:val="1B1B1B"/>
                <w:sz w:val="21"/>
                <w:szCs w:val="21"/>
              </w:rPr>
              <w:t>(</w:t>
            </w:r>
          </w:p>
          <w:p w14:paraId="0AED5092" w14:textId="77777777" w:rsidR="00651EBC" w:rsidRDefault="00000000">
            <w:pPr>
              <w:spacing w:after="20"/>
            </w:pPr>
            <w:r>
              <w:rPr>
                <w:rFonts w:ascii="Consolas" w:eastAsia="Consolas" w:hAnsi="Consolas" w:cs="Consolas"/>
                <w:color w:val="1B1B1B"/>
                <w:sz w:val="21"/>
                <w:szCs w:val="21"/>
              </w:rPr>
              <w:t xml:space="preserve">            pattern, case=False, </w:t>
            </w:r>
            <w:proofErr w:type="spellStart"/>
            <w:r>
              <w:rPr>
                <w:rFonts w:ascii="Consolas" w:eastAsia="Consolas" w:hAnsi="Consolas" w:cs="Consolas"/>
                <w:color w:val="1B1B1B"/>
                <w:sz w:val="21"/>
                <w:szCs w:val="21"/>
              </w:rPr>
              <w:t>na</w:t>
            </w:r>
            <w:proofErr w:type="spellEnd"/>
            <w:r>
              <w:rPr>
                <w:rFonts w:ascii="Consolas" w:eastAsia="Consolas" w:hAnsi="Consolas" w:cs="Consolas"/>
                <w:color w:val="1B1B1B"/>
                <w:sz w:val="21"/>
                <w:szCs w:val="21"/>
              </w:rPr>
              <w:t>=False)</w:t>
            </w:r>
          </w:p>
          <w:p w14:paraId="4D38ABEF" w14:textId="77777777" w:rsidR="00651EBC" w:rsidRDefault="00000000">
            <w:pPr>
              <w:spacing w:after="20"/>
            </w:pPr>
            <w:r>
              <w:rPr>
                <w:rFonts w:ascii="Consolas" w:eastAsia="Consolas" w:hAnsi="Consolas" w:cs="Consolas"/>
                <w:color w:val="1B1B1B"/>
                <w:sz w:val="21"/>
                <w:szCs w:val="21"/>
              </w:rPr>
              <w:t xml:space="preserve">    ]</w:t>
            </w:r>
          </w:p>
        </w:tc>
      </w:tr>
    </w:tbl>
    <w:p w14:paraId="407A1FB1" w14:textId="77777777" w:rsidR="00651EBC" w:rsidRDefault="00000000">
      <w:pPr>
        <w:spacing w:after="160" w:line="276" w:lineRule="auto"/>
        <w:jc w:val="both"/>
      </w:pPr>
      <w:r>
        <w:t xml:space="preserve">Each of the six categories is defined by a small set of keywords; </w:t>
      </w:r>
      <w:proofErr w:type="spellStart"/>
      <w:r>
        <w:t>str.contains</w:t>
      </w:r>
      <w:proofErr w:type="spellEnd"/>
      <w:r>
        <w:t>() with a regex OR pattern groups every matching indicator name into the corresponding bucket, which is how the 1,510 indicators were narrowed down to the Investment subset used in this analysis.</w:t>
      </w:r>
    </w:p>
    <w:p w14:paraId="281E9641" w14:textId="77777777" w:rsidR="00651EBC" w:rsidRDefault="00000000">
      <w:pPr>
        <w:spacing w:before="160" w:after="60"/>
      </w:pPr>
      <w:r>
        <w:rPr>
          <w:b/>
          <w:bCs/>
          <w:i/>
          <w:iCs/>
          <w:color w:val="44546A"/>
          <w:sz w:val="22"/>
          <w:szCs w:val="22"/>
        </w:rPr>
        <w:t>Step 4 — Selecting Indicators with Full Coverage</w:t>
      </w:r>
    </w:p>
    <w:tbl>
      <w:tblPr>
        <w:tblW w:w="9360" w:type="dxa"/>
        <w:tblBorders>
          <w:top w:val="single" w:sz="4" w:space="0" w:color="9DB3C7"/>
          <w:left w:val="single" w:sz="18" w:space="0" w:color="1F3864"/>
          <w:bottom w:val="single" w:sz="4" w:space="0" w:color="9DB3C7"/>
          <w:right w:val="single" w:sz="4" w:space="0" w:color="9DB3C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51EBC" w14:paraId="75FFB330" w14:textId="77777777">
        <w:tblPrEx>
          <w:tblCellMar>
            <w:top w:w="0" w:type="dxa"/>
            <w:bottom w:w="0" w:type="dxa"/>
          </w:tblCellMar>
        </w:tblPrEx>
        <w:trPr>
          <w:cantSplit/>
        </w:trPr>
        <w:tc>
          <w:tcPr>
            <w:tcW w:w="0" w:type="auto"/>
            <w:shd w:val="clear" w:color="auto" w:fill="F5F5F5"/>
            <w:tcMar>
              <w:top w:w="160" w:type="dxa"/>
              <w:left w:w="220" w:type="dxa"/>
              <w:bottom w:w="160" w:type="dxa"/>
              <w:right w:w="220" w:type="dxa"/>
            </w:tcMar>
          </w:tcPr>
          <w:p w14:paraId="387703FF" w14:textId="77777777" w:rsidR="00651EBC" w:rsidRDefault="00000000">
            <w:pPr>
              <w:spacing w:after="20"/>
            </w:pPr>
            <w:r>
              <w:rPr>
                <w:rFonts w:ascii="Consolas" w:eastAsia="Consolas" w:hAnsi="Consolas" w:cs="Consolas"/>
                <w:color w:val="1B1B1B"/>
                <w:sz w:val="21"/>
                <w:szCs w:val="21"/>
              </w:rPr>
              <w:t xml:space="preserve">investment = </w:t>
            </w:r>
            <w:proofErr w:type="spellStart"/>
            <w:r>
              <w:rPr>
                <w:rFonts w:ascii="Consolas" w:eastAsia="Consolas" w:hAnsi="Consolas" w:cs="Consolas"/>
                <w:color w:val="1B1B1B"/>
                <w:sz w:val="21"/>
                <w:szCs w:val="21"/>
              </w:rPr>
              <w:t>indicator_groups</w:t>
            </w:r>
            <w:proofErr w:type="spellEnd"/>
            <w:r>
              <w:rPr>
                <w:rFonts w:ascii="Consolas" w:eastAsia="Consolas" w:hAnsi="Consolas" w:cs="Consolas"/>
                <w:color w:val="1B1B1B"/>
                <w:sz w:val="21"/>
                <w:szCs w:val="21"/>
              </w:rPr>
              <w:t>["Investment"].copy()</w:t>
            </w:r>
          </w:p>
          <w:p w14:paraId="48E112F2" w14:textId="77777777" w:rsidR="00651EBC" w:rsidRDefault="00000000">
            <w:pPr>
              <w:spacing w:after="20"/>
            </w:pPr>
            <w:r>
              <w:rPr>
                <w:rFonts w:ascii="Consolas" w:eastAsia="Consolas" w:hAnsi="Consolas" w:cs="Consolas"/>
                <w:color w:val="1B1B1B"/>
                <w:sz w:val="21"/>
                <w:szCs w:val="21"/>
              </w:rPr>
              <w:t xml:space="preserve">investment["Missing Years"] = </w:t>
            </w:r>
            <w:proofErr w:type="spellStart"/>
            <w:r>
              <w:rPr>
                <w:rFonts w:ascii="Consolas" w:eastAsia="Consolas" w:hAnsi="Consolas" w:cs="Consolas"/>
                <w:color w:val="1B1B1B"/>
                <w:sz w:val="21"/>
                <w:szCs w:val="21"/>
              </w:rPr>
              <w:t>investment.loc</w:t>
            </w:r>
            <w:proofErr w:type="spellEnd"/>
            <w:r>
              <w:rPr>
                <w:rFonts w:ascii="Consolas" w:eastAsia="Consolas" w:hAnsi="Consolas" w:cs="Consolas"/>
                <w:color w:val="1B1B1B"/>
                <w:sz w:val="21"/>
                <w:szCs w:val="21"/>
              </w:rPr>
              <w:t>[</w:t>
            </w:r>
          </w:p>
          <w:p w14:paraId="7DA0A86D" w14:textId="77777777" w:rsidR="00651EBC" w:rsidRDefault="00000000">
            <w:pPr>
              <w:spacing w:after="20"/>
            </w:pPr>
            <w:r>
              <w:rPr>
                <w:rFonts w:ascii="Consolas" w:eastAsia="Consolas" w:hAnsi="Consolas" w:cs="Consolas"/>
                <w:color w:val="1B1B1B"/>
                <w:sz w:val="21"/>
                <w:szCs w:val="21"/>
              </w:rPr>
              <w:t xml:space="preserve">    :, "2014":"2025"].</w:t>
            </w:r>
            <w:proofErr w:type="spellStart"/>
            <w:r>
              <w:rPr>
                <w:rFonts w:ascii="Consolas" w:eastAsia="Consolas" w:hAnsi="Consolas" w:cs="Consolas"/>
                <w:color w:val="1B1B1B"/>
                <w:sz w:val="21"/>
                <w:szCs w:val="21"/>
              </w:rPr>
              <w:t>isna</w:t>
            </w:r>
            <w:proofErr w:type="spellEnd"/>
            <w:r>
              <w:rPr>
                <w:rFonts w:ascii="Consolas" w:eastAsia="Consolas" w:hAnsi="Consolas" w:cs="Consolas"/>
                <w:color w:val="1B1B1B"/>
                <w:sz w:val="21"/>
                <w:szCs w:val="21"/>
              </w:rPr>
              <w:t>().sum(axis=1)</w:t>
            </w:r>
          </w:p>
          <w:p w14:paraId="176A47A0" w14:textId="77777777" w:rsidR="00651EBC" w:rsidRDefault="00000000">
            <w:pPr>
              <w:spacing w:after="20"/>
            </w:pPr>
            <w:r>
              <w:rPr>
                <w:rFonts w:ascii="Consolas" w:eastAsia="Consolas" w:hAnsi="Consolas" w:cs="Consolas"/>
                <w:color w:val="1B1B1B"/>
                <w:sz w:val="21"/>
                <w:szCs w:val="21"/>
              </w:rPr>
              <w:t xml:space="preserve"> </w:t>
            </w:r>
          </w:p>
          <w:p w14:paraId="634A7980" w14:textId="77777777" w:rsidR="00651EBC" w:rsidRDefault="00000000">
            <w:pPr>
              <w:spacing w:after="20"/>
            </w:pPr>
            <w:r>
              <w:rPr>
                <w:rFonts w:ascii="Consolas" w:eastAsia="Consolas" w:hAnsi="Consolas" w:cs="Consolas"/>
                <w:color w:val="1B1B1B"/>
                <w:sz w:val="21"/>
                <w:szCs w:val="21"/>
              </w:rPr>
              <w:t># investment sorted and reviewed by Missing Years, then:</w:t>
            </w:r>
          </w:p>
          <w:p w14:paraId="3B23FC11" w14:textId="77777777" w:rsidR="00651EBC" w:rsidRDefault="00000000">
            <w:pPr>
              <w:spacing w:after="20"/>
            </w:pPr>
            <w:proofErr w:type="spellStart"/>
            <w:r>
              <w:rPr>
                <w:rFonts w:ascii="Consolas" w:eastAsia="Consolas" w:hAnsi="Consolas" w:cs="Consolas"/>
                <w:color w:val="1B1B1B"/>
                <w:sz w:val="21"/>
                <w:szCs w:val="21"/>
              </w:rPr>
              <w:t>investment.drop</w:t>
            </w:r>
            <w:proofErr w:type="spellEnd"/>
            <w:r>
              <w:rPr>
                <w:rFonts w:ascii="Consolas" w:eastAsia="Consolas" w:hAnsi="Consolas" w:cs="Consolas"/>
                <w:color w:val="1B1B1B"/>
                <w:sz w:val="21"/>
                <w:szCs w:val="21"/>
              </w:rPr>
              <w:t xml:space="preserve">(columns="Missing Years", </w:t>
            </w:r>
            <w:proofErr w:type="spellStart"/>
            <w:r>
              <w:rPr>
                <w:rFonts w:ascii="Consolas" w:eastAsia="Consolas" w:hAnsi="Consolas" w:cs="Consolas"/>
                <w:color w:val="1B1B1B"/>
                <w:sz w:val="21"/>
                <w:szCs w:val="21"/>
              </w:rPr>
              <w:t>inplace</w:t>
            </w:r>
            <w:proofErr w:type="spellEnd"/>
            <w:r>
              <w:rPr>
                <w:rFonts w:ascii="Consolas" w:eastAsia="Consolas" w:hAnsi="Consolas" w:cs="Consolas"/>
                <w:color w:val="1B1B1B"/>
                <w:sz w:val="21"/>
                <w:szCs w:val="21"/>
              </w:rPr>
              <w:t>=True)</w:t>
            </w:r>
          </w:p>
          <w:p w14:paraId="6E89E679" w14:textId="77777777" w:rsidR="00651EBC" w:rsidRDefault="00000000">
            <w:pPr>
              <w:spacing w:after="20"/>
            </w:pPr>
            <w:r>
              <w:rPr>
                <w:rFonts w:ascii="Consolas" w:eastAsia="Consolas" w:hAnsi="Consolas" w:cs="Consolas"/>
                <w:color w:val="1B1B1B"/>
                <w:sz w:val="21"/>
                <w:szCs w:val="21"/>
              </w:rPr>
              <w:t xml:space="preserve"> </w:t>
            </w:r>
          </w:p>
          <w:p w14:paraId="3B5BA90B" w14:textId="77777777" w:rsidR="00651EBC" w:rsidRDefault="00000000">
            <w:pPr>
              <w:spacing w:after="20"/>
            </w:pPr>
            <w:proofErr w:type="spellStart"/>
            <w:r>
              <w:rPr>
                <w:rFonts w:ascii="Consolas" w:eastAsia="Consolas" w:hAnsi="Consolas" w:cs="Consolas"/>
                <w:color w:val="1B1B1B"/>
                <w:sz w:val="21"/>
                <w:szCs w:val="21"/>
              </w:rPr>
              <w:t>gcf_gdp</w:t>
            </w:r>
            <w:proofErr w:type="spellEnd"/>
            <w:r>
              <w:rPr>
                <w:rFonts w:ascii="Consolas" w:eastAsia="Consolas" w:hAnsi="Consolas" w:cs="Consolas"/>
                <w:color w:val="1B1B1B"/>
                <w:sz w:val="21"/>
                <w:szCs w:val="21"/>
              </w:rPr>
              <w:t xml:space="preserve"> = investment[</w:t>
            </w:r>
          </w:p>
          <w:p w14:paraId="4670D2DA" w14:textId="77777777" w:rsidR="00651EBC" w:rsidRDefault="00000000">
            <w:pPr>
              <w:spacing w:after="20"/>
            </w:pPr>
            <w:r>
              <w:rPr>
                <w:rFonts w:ascii="Consolas" w:eastAsia="Consolas" w:hAnsi="Consolas" w:cs="Consolas"/>
                <w:color w:val="1B1B1B"/>
                <w:sz w:val="21"/>
                <w:szCs w:val="21"/>
              </w:rPr>
              <w:t xml:space="preserve">    investment["Indicator Name"]</w:t>
            </w:r>
          </w:p>
          <w:p w14:paraId="7155D673" w14:textId="77777777" w:rsidR="00651EBC" w:rsidRDefault="00000000">
            <w:pPr>
              <w:spacing w:after="20"/>
            </w:pPr>
            <w:r>
              <w:rPr>
                <w:rFonts w:ascii="Consolas" w:eastAsia="Consolas" w:hAnsi="Consolas" w:cs="Consolas"/>
                <w:color w:val="1B1B1B"/>
                <w:sz w:val="21"/>
                <w:szCs w:val="21"/>
              </w:rPr>
              <w:t xml:space="preserve">    == "Gross capital formation (% of GDP)"</w:t>
            </w:r>
          </w:p>
          <w:p w14:paraId="0510F124" w14:textId="77777777" w:rsidR="00651EBC" w:rsidRDefault="00000000">
            <w:pPr>
              <w:spacing w:after="20"/>
            </w:pPr>
            <w:r>
              <w:rPr>
                <w:rFonts w:ascii="Consolas" w:eastAsia="Consolas" w:hAnsi="Consolas" w:cs="Consolas"/>
                <w:color w:val="1B1B1B"/>
                <w:sz w:val="21"/>
                <w:szCs w:val="21"/>
              </w:rPr>
              <w:t>]</w:t>
            </w:r>
          </w:p>
        </w:tc>
      </w:tr>
    </w:tbl>
    <w:p w14:paraId="6D8A32B8" w14:textId="77777777" w:rsidR="00651EBC" w:rsidRDefault="00000000">
      <w:pPr>
        <w:spacing w:after="160" w:line="276" w:lineRule="auto"/>
        <w:jc w:val="both"/>
      </w:pPr>
      <w:r>
        <w:t>Adding a per-row missing-year count made it possible to compare coverage across all Investment-category indicators and confirm that FDI net inflows (% of GDP) and Gross Capital Formation (% of GDP) were the two series with complete 2014–2025 coverage, before isolating the GCF row for plotting.</w:t>
      </w:r>
    </w:p>
    <w:p w14:paraId="643B5EBF" w14:textId="77777777" w:rsidR="00A4225D" w:rsidRDefault="00A4225D">
      <w:pPr>
        <w:spacing w:after="160" w:line="276" w:lineRule="auto"/>
        <w:jc w:val="both"/>
      </w:pPr>
    </w:p>
    <w:p w14:paraId="69C8A777" w14:textId="77777777" w:rsidR="00651EBC" w:rsidRDefault="00000000">
      <w:pPr>
        <w:spacing w:before="160" w:after="60"/>
      </w:pPr>
      <w:r>
        <w:rPr>
          <w:b/>
          <w:bCs/>
          <w:i/>
          <w:iCs/>
          <w:color w:val="44546A"/>
          <w:sz w:val="22"/>
          <w:szCs w:val="22"/>
        </w:rPr>
        <w:lastRenderedPageBreak/>
        <w:t>Step 5 — Annotated Trend Visualisation (Figure 2)</w:t>
      </w:r>
    </w:p>
    <w:tbl>
      <w:tblPr>
        <w:tblW w:w="9360" w:type="dxa"/>
        <w:tblBorders>
          <w:top w:val="single" w:sz="4" w:space="0" w:color="9DB3C7"/>
          <w:left w:val="single" w:sz="18" w:space="0" w:color="1F3864"/>
          <w:bottom w:val="single" w:sz="4" w:space="0" w:color="9DB3C7"/>
          <w:right w:val="single" w:sz="4" w:space="0" w:color="9DB3C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651EBC" w14:paraId="52CCB731" w14:textId="77777777">
        <w:tblPrEx>
          <w:tblCellMar>
            <w:top w:w="0" w:type="dxa"/>
            <w:bottom w:w="0" w:type="dxa"/>
          </w:tblCellMar>
        </w:tblPrEx>
        <w:trPr>
          <w:cantSplit/>
        </w:trPr>
        <w:tc>
          <w:tcPr>
            <w:tcW w:w="0" w:type="auto"/>
            <w:shd w:val="clear" w:color="auto" w:fill="F5F5F5"/>
            <w:tcMar>
              <w:top w:w="160" w:type="dxa"/>
              <w:left w:w="220" w:type="dxa"/>
              <w:bottom w:w="160" w:type="dxa"/>
              <w:right w:w="220" w:type="dxa"/>
            </w:tcMar>
          </w:tcPr>
          <w:p w14:paraId="51CD6C5A" w14:textId="77777777" w:rsidR="00651EBC" w:rsidRDefault="00000000">
            <w:pPr>
              <w:spacing w:after="20"/>
            </w:pPr>
            <w:r>
              <w:rPr>
                <w:rFonts w:ascii="Consolas" w:eastAsia="Consolas" w:hAnsi="Consolas" w:cs="Consolas"/>
                <w:color w:val="1B1B1B"/>
                <w:sz w:val="21"/>
                <w:szCs w:val="21"/>
              </w:rPr>
              <w:t xml:space="preserve">x = [int(year) for year in </w:t>
            </w:r>
            <w:proofErr w:type="spellStart"/>
            <w:r>
              <w:rPr>
                <w:rFonts w:ascii="Consolas" w:eastAsia="Consolas" w:hAnsi="Consolas" w:cs="Consolas"/>
                <w:color w:val="1B1B1B"/>
                <w:sz w:val="21"/>
                <w:szCs w:val="21"/>
              </w:rPr>
              <w:t>year_cols</w:t>
            </w:r>
            <w:proofErr w:type="spellEnd"/>
            <w:r>
              <w:rPr>
                <w:rFonts w:ascii="Consolas" w:eastAsia="Consolas" w:hAnsi="Consolas" w:cs="Consolas"/>
                <w:color w:val="1B1B1B"/>
                <w:sz w:val="21"/>
                <w:szCs w:val="21"/>
              </w:rPr>
              <w:t>]</w:t>
            </w:r>
          </w:p>
          <w:p w14:paraId="50C296A8" w14:textId="77777777" w:rsidR="00651EBC" w:rsidRDefault="00000000">
            <w:pPr>
              <w:spacing w:after="20"/>
            </w:pPr>
            <w:r>
              <w:rPr>
                <w:rFonts w:ascii="Consolas" w:eastAsia="Consolas" w:hAnsi="Consolas" w:cs="Consolas"/>
                <w:color w:val="1B1B1B"/>
                <w:sz w:val="21"/>
                <w:szCs w:val="21"/>
              </w:rPr>
              <w:t xml:space="preserve">y = </w:t>
            </w:r>
            <w:proofErr w:type="spellStart"/>
            <w:r>
              <w:rPr>
                <w:rFonts w:ascii="Consolas" w:eastAsia="Consolas" w:hAnsi="Consolas" w:cs="Consolas"/>
                <w:color w:val="1B1B1B"/>
                <w:sz w:val="21"/>
                <w:szCs w:val="21"/>
              </w:rPr>
              <w:t>gcf_gdp.loc</w:t>
            </w:r>
            <w:proofErr w:type="spellEnd"/>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year_cols</w:t>
            </w:r>
            <w:proofErr w:type="spellEnd"/>
            <w:r>
              <w:rPr>
                <w:rFonts w:ascii="Consolas" w:eastAsia="Consolas" w:hAnsi="Consolas" w:cs="Consolas"/>
                <w:color w:val="1B1B1B"/>
                <w:sz w:val="21"/>
                <w:szCs w:val="21"/>
              </w:rPr>
              <w:t>].</w:t>
            </w:r>
            <w:proofErr w:type="spellStart"/>
            <w:r>
              <w:rPr>
                <w:rFonts w:ascii="Consolas" w:eastAsia="Consolas" w:hAnsi="Consolas" w:cs="Consolas"/>
                <w:color w:val="1B1B1B"/>
                <w:sz w:val="21"/>
                <w:szCs w:val="21"/>
              </w:rPr>
              <w:t>iloc</w:t>
            </w:r>
            <w:proofErr w:type="spellEnd"/>
            <w:r>
              <w:rPr>
                <w:rFonts w:ascii="Consolas" w:eastAsia="Consolas" w:hAnsi="Consolas" w:cs="Consolas"/>
                <w:color w:val="1B1B1B"/>
                <w:sz w:val="21"/>
                <w:szCs w:val="21"/>
              </w:rPr>
              <w:t>[0].</w:t>
            </w:r>
            <w:proofErr w:type="spellStart"/>
            <w:r>
              <w:rPr>
                <w:rFonts w:ascii="Consolas" w:eastAsia="Consolas" w:hAnsi="Consolas" w:cs="Consolas"/>
                <w:color w:val="1B1B1B"/>
                <w:sz w:val="21"/>
                <w:szCs w:val="21"/>
              </w:rPr>
              <w:t>astype</w:t>
            </w:r>
            <w:proofErr w:type="spellEnd"/>
            <w:r>
              <w:rPr>
                <w:rFonts w:ascii="Consolas" w:eastAsia="Consolas" w:hAnsi="Consolas" w:cs="Consolas"/>
                <w:color w:val="1B1B1B"/>
                <w:sz w:val="21"/>
                <w:szCs w:val="21"/>
              </w:rPr>
              <w:t>(float)</w:t>
            </w:r>
          </w:p>
          <w:p w14:paraId="541A7C54" w14:textId="77777777" w:rsidR="00651EBC" w:rsidRDefault="00000000">
            <w:pPr>
              <w:spacing w:after="20"/>
            </w:pPr>
            <w:r>
              <w:rPr>
                <w:rFonts w:ascii="Consolas" w:eastAsia="Consolas" w:hAnsi="Consolas" w:cs="Consolas"/>
                <w:color w:val="1B1B1B"/>
                <w:sz w:val="21"/>
                <w:szCs w:val="21"/>
              </w:rPr>
              <w:t xml:space="preserve"> </w:t>
            </w:r>
          </w:p>
          <w:p w14:paraId="17207F6E" w14:textId="77777777" w:rsidR="00651EBC" w:rsidRDefault="00000000">
            <w:pPr>
              <w:spacing w:after="20"/>
            </w:pPr>
            <w:proofErr w:type="spellStart"/>
            <w:r>
              <w:rPr>
                <w:rFonts w:ascii="Consolas" w:eastAsia="Consolas" w:hAnsi="Consolas" w:cs="Consolas"/>
                <w:color w:val="1B1B1B"/>
                <w:sz w:val="21"/>
                <w:szCs w:val="21"/>
              </w:rPr>
              <w:t>plt.figure</w:t>
            </w:r>
            <w:proofErr w:type="spellEnd"/>
            <w:r>
              <w:rPr>
                <w:rFonts w:ascii="Consolas" w:eastAsia="Consolas" w:hAnsi="Consolas" w:cs="Consolas"/>
                <w:color w:val="1B1B1B"/>
                <w:sz w:val="21"/>
                <w:szCs w:val="21"/>
              </w:rPr>
              <w:t>(</w:t>
            </w:r>
            <w:proofErr w:type="spellStart"/>
            <w:r>
              <w:rPr>
                <w:rFonts w:ascii="Consolas" w:eastAsia="Consolas" w:hAnsi="Consolas" w:cs="Consolas"/>
                <w:color w:val="1B1B1B"/>
                <w:sz w:val="21"/>
                <w:szCs w:val="21"/>
              </w:rPr>
              <w:t>figsize</w:t>
            </w:r>
            <w:proofErr w:type="spellEnd"/>
            <w:r>
              <w:rPr>
                <w:rFonts w:ascii="Consolas" w:eastAsia="Consolas" w:hAnsi="Consolas" w:cs="Consolas"/>
                <w:color w:val="1B1B1B"/>
                <w:sz w:val="21"/>
                <w:szCs w:val="21"/>
              </w:rPr>
              <w:t>=(8, 5))</w:t>
            </w:r>
          </w:p>
          <w:p w14:paraId="54C55B6D" w14:textId="77777777" w:rsidR="00651EBC" w:rsidRDefault="00000000">
            <w:pPr>
              <w:spacing w:after="20"/>
            </w:pPr>
            <w:proofErr w:type="spellStart"/>
            <w:r>
              <w:rPr>
                <w:rFonts w:ascii="Consolas" w:eastAsia="Consolas" w:hAnsi="Consolas" w:cs="Consolas"/>
                <w:color w:val="1B1B1B"/>
                <w:sz w:val="21"/>
                <w:szCs w:val="21"/>
              </w:rPr>
              <w:t>plt.plot</w:t>
            </w:r>
            <w:proofErr w:type="spellEnd"/>
            <w:r>
              <w:rPr>
                <w:rFonts w:ascii="Consolas" w:eastAsia="Consolas" w:hAnsi="Consolas" w:cs="Consolas"/>
                <w:color w:val="1B1B1B"/>
                <w:sz w:val="21"/>
                <w:szCs w:val="21"/>
              </w:rPr>
              <w:t>(x, y, marker="o", linewidth=2)</w:t>
            </w:r>
          </w:p>
          <w:p w14:paraId="325154D7" w14:textId="77777777" w:rsidR="00651EBC" w:rsidRDefault="00000000">
            <w:pPr>
              <w:spacing w:after="20"/>
            </w:pPr>
            <w:r>
              <w:rPr>
                <w:rFonts w:ascii="Consolas" w:eastAsia="Consolas" w:hAnsi="Consolas" w:cs="Consolas"/>
                <w:color w:val="1B1B1B"/>
                <w:sz w:val="21"/>
                <w:szCs w:val="21"/>
              </w:rPr>
              <w:t xml:space="preserve"> </w:t>
            </w:r>
          </w:p>
          <w:p w14:paraId="753099B0" w14:textId="77777777" w:rsidR="00651EBC" w:rsidRDefault="00000000">
            <w:pPr>
              <w:spacing w:after="20"/>
            </w:pPr>
            <w:proofErr w:type="spellStart"/>
            <w:r>
              <w:rPr>
                <w:rFonts w:ascii="Consolas" w:eastAsia="Consolas" w:hAnsi="Consolas" w:cs="Consolas"/>
                <w:color w:val="1B1B1B"/>
                <w:sz w:val="21"/>
                <w:szCs w:val="21"/>
              </w:rPr>
              <w:t>key_years</w:t>
            </w:r>
            <w:proofErr w:type="spellEnd"/>
            <w:r>
              <w:rPr>
                <w:rFonts w:ascii="Consolas" w:eastAsia="Consolas" w:hAnsi="Consolas" w:cs="Consolas"/>
                <w:color w:val="1B1B1B"/>
                <w:sz w:val="21"/>
                <w:szCs w:val="21"/>
              </w:rPr>
              <w:t xml:space="preserve"> = [2014, 2016, 2020, 2025]</w:t>
            </w:r>
          </w:p>
          <w:p w14:paraId="6484F01E" w14:textId="77777777" w:rsidR="00651EBC" w:rsidRDefault="00000000">
            <w:pPr>
              <w:spacing w:after="20"/>
            </w:pPr>
            <w:r>
              <w:rPr>
                <w:rFonts w:ascii="Consolas" w:eastAsia="Consolas" w:hAnsi="Consolas" w:cs="Consolas"/>
                <w:color w:val="1B1B1B"/>
                <w:sz w:val="21"/>
                <w:szCs w:val="21"/>
              </w:rPr>
              <w:t xml:space="preserve">for year in </w:t>
            </w:r>
            <w:proofErr w:type="spellStart"/>
            <w:r>
              <w:rPr>
                <w:rFonts w:ascii="Consolas" w:eastAsia="Consolas" w:hAnsi="Consolas" w:cs="Consolas"/>
                <w:color w:val="1B1B1B"/>
                <w:sz w:val="21"/>
                <w:szCs w:val="21"/>
              </w:rPr>
              <w:t>key_years</w:t>
            </w:r>
            <w:proofErr w:type="spellEnd"/>
            <w:r>
              <w:rPr>
                <w:rFonts w:ascii="Consolas" w:eastAsia="Consolas" w:hAnsi="Consolas" w:cs="Consolas"/>
                <w:color w:val="1B1B1B"/>
                <w:sz w:val="21"/>
                <w:szCs w:val="21"/>
              </w:rPr>
              <w:t>:</w:t>
            </w:r>
          </w:p>
          <w:p w14:paraId="5AFCA06A" w14:textId="77777777" w:rsidR="00651EBC" w:rsidRDefault="00000000">
            <w:pPr>
              <w:spacing w:after="20"/>
            </w:pPr>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idx</w:t>
            </w:r>
            <w:proofErr w:type="spellEnd"/>
            <w:r>
              <w:rPr>
                <w:rFonts w:ascii="Consolas" w:eastAsia="Consolas" w:hAnsi="Consolas" w:cs="Consolas"/>
                <w:color w:val="1B1B1B"/>
                <w:sz w:val="21"/>
                <w:szCs w:val="21"/>
              </w:rPr>
              <w:t xml:space="preserve"> = </w:t>
            </w:r>
            <w:proofErr w:type="spellStart"/>
            <w:r>
              <w:rPr>
                <w:rFonts w:ascii="Consolas" w:eastAsia="Consolas" w:hAnsi="Consolas" w:cs="Consolas"/>
                <w:color w:val="1B1B1B"/>
                <w:sz w:val="21"/>
                <w:szCs w:val="21"/>
              </w:rPr>
              <w:t>x.index</w:t>
            </w:r>
            <w:proofErr w:type="spellEnd"/>
            <w:r>
              <w:rPr>
                <w:rFonts w:ascii="Consolas" w:eastAsia="Consolas" w:hAnsi="Consolas" w:cs="Consolas"/>
                <w:color w:val="1B1B1B"/>
                <w:sz w:val="21"/>
                <w:szCs w:val="21"/>
              </w:rPr>
              <w:t>(year)</w:t>
            </w:r>
          </w:p>
          <w:p w14:paraId="28A2E377" w14:textId="77777777" w:rsidR="00651EBC" w:rsidRDefault="00000000">
            <w:pPr>
              <w:spacing w:after="20"/>
            </w:pPr>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plt.annotate</w:t>
            </w:r>
            <w:proofErr w:type="spellEnd"/>
            <w:r>
              <w:rPr>
                <w:rFonts w:ascii="Consolas" w:eastAsia="Consolas" w:hAnsi="Consolas" w:cs="Consolas"/>
                <w:color w:val="1B1B1B"/>
                <w:sz w:val="21"/>
                <w:szCs w:val="21"/>
              </w:rPr>
              <w:t>(f"{</w:t>
            </w:r>
            <w:proofErr w:type="spellStart"/>
            <w:r>
              <w:rPr>
                <w:rFonts w:ascii="Consolas" w:eastAsia="Consolas" w:hAnsi="Consolas" w:cs="Consolas"/>
                <w:color w:val="1B1B1B"/>
                <w:sz w:val="21"/>
                <w:szCs w:val="21"/>
              </w:rPr>
              <w:t>y.iloc</w:t>
            </w:r>
            <w:proofErr w:type="spellEnd"/>
            <w:r>
              <w:rPr>
                <w:rFonts w:ascii="Consolas" w:eastAsia="Consolas" w:hAnsi="Consolas" w:cs="Consolas"/>
                <w:color w:val="1B1B1B"/>
                <w:sz w:val="21"/>
                <w:szCs w:val="21"/>
              </w:rPr>
              <w:t>[</w:t>
            </w:r>
            <w:proofErr w:type="spellStart"/>
            <w:r>
              <w:rPr>
                <w:rFonts w:ascii="Consolas" w:eastAsia="Consolas" w:hAnsi="Consolas" w:cs="Consolas"/>
                <w:color w:val="1B1B1B"/>
                <w:sz w:val="21"/>
                <w:szCs w:val="21"/>
              </w:rPr>
              <w:t>idx</w:t>
            </w:r>
            <w:proofErr w:type="spellEnd"/>
            <w:r>
              <w:rPr>
                <w:rFonts w:ascii="Consolas" w:eastAsia="Consolas" w:hAnsi="Consolas" w:cs="Consolas"/>
                <w:color w:val="1B1B1B"/>
                <w:sz w:val="21"/>
                <w:szCs w:val="21"/>
              </w:rPr>
              <w:t>]:.2f}", (x[</w:t>
            </w:r>
            <w:proofErr w:type="spellStart"/>
            <w:r>
              <w:rPr>
                <w:rFonts w:ascii="Consolas" w:eastAsia="Consolas" w:hAnsi="Consolas" w:cs="Consolas"/>
                <w:color w:val="1B1B1B"/>
                <w:sz w:val="21"/>
                <w:szCs w:val="21"/>
              </w:rPr>
              <w:t>idx</w:t>
            </w:r>
            <w:proofErr w:type="spellEnd"/>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y.iloc</w:t>
            </w:r>
            <w:proofErr w:type="spellEnd"/>
            <w:r>
              <w:rPr>
                <w:rFonts w:ascii="Consolas" w:eastAsia="Consolas" w:hAnsi="Consolas" w:cs="Consolas"/>
                <w:color w:val="1B1B1B"/>
                <w:sz w:val="21"/>
                <w:szCs w:val="21"/>
              </w:rPr>
              <w:t>[</w:t>
            </w:r>
            <w:proofErr w:type="spellStart"/>
            <w:r>
              <w:rPr>
                <w:rFonts w:ascii="Consolas" w:eastAsia="Consolas" w:hAnsi="Consolas" w:cs="Consolas"/>
                <w:color w:val="1B1B1B"/>
                <w:sz w:val="21"/>
                <w:szCs w:val="21"/>
              </w:rPr>
              <w:t>idx</w:t>
            </w:r>
            <w:proofErr w:type="spellEnd"/>
            <w:r>
              <w:rPr>
                <w:rFonts w:ascii="Consolas" w:eastAsia="Consolas" w:hAnsi="Consolas" w:cs="Consolas"/>
                <w:color w:val="1B1B1B"/>
                <w:sz w:val="21"/>
                <w:szCs w:val="21"/>
              </w:rPr>
              <w:t>]),</w:t>
            </w:r>
          </w:p>
          <w:p w14:paraId="0BFD27B9" w14:textId="77777777" w:rsidR="00651EBC" w:rsidRDefault="00000000">
            <w:pPr>
              <w:spacing w:after="20"/>
            </w:pPr>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textcoords</w:t>
            </w:r>
            <w:proofErr w:type="spellEnd"/>
            <w:r>
              <w:rPr>
                <w:rFonts w:ascii="Consolas" w:eastAsia="Consolas" w:hAnsi="Consolas" w:cs="Consolas"/>
                <w:color w:val="1B1B1B"/>
                <w:sz w:val="21"/>
                <w:szCs w:val="21"/>
              </w:rPr>
              <w:t xml:space="preserve">="offset points", </w:t>
            </w:r>
            <w:proofErr w:type="spellStart"/>
            <w:r>
              <w:rPr>
                <w:rFonts w:ascii="Consolas" w:eastAsia="Consolas" w:hAnsi="Consolas" w:cs="Consolas"/>
                <w:color w:val="1B1B1B"/>
                <w:sz w:val="21"/>
                <w:szCs w:val="21"/>
              </w:rPr>
              <w:t>xytext</w:t>
            </w:r>
            <w:proofErr w:type="spellEnd"/>
            <w:r>
              <w:rPr>
                <w:rFonts w:ascii="Consolas" w:eastAsia="Consolas" w:hAnsi="Consolas" w:cs="Consolas"/>
                <w:color w:val="1B1B1B"/>
                <w:sz w:val="21"/>
                <w:szCs w:val="21"/>
              </w:rPr>
              <w:t>=(0, 10),</w:t>
            </w:r>
          </w:p>
          <w:p w14:paraId="09E98F5F" w14:textId="77777777" w:rsidR="00651EBC" w:rsidRDefault="00000000">
            <w:pPr>
              <w:spacing w:after="20"/>
            </w:pPr>
            <w:r>
              <w:rPr>
                <w:rFonts w:ascii="Consolas" w:eastAsia="Consolas" w:hAnsi="Consolas" w:cs="Consolas"/>
                <w:color w:val="1B1B1B"/>
                <w:sz w:val="21"/>
                <w:szCs w:val="21"/>
              </w:rPr>
              <w:t xml:space="preserve">                 ha="</w:t>
            </w:r>
            <w:proofErr w:type="spellStart"/>
            <w:r>
              <w:rPr>
                <w:rFonts w:ascii="Consolas" w:eastAsia="Consolas" w:hAnsi="Consolas" w:cs="Consolas"/>
                <w:color w:val="1B1B1B"/>
                <w:sz w:val="21"/>
                <w:szCs w:val="21"/>
              </w:rPr>
              <w:t>center</w:t>
            </w:r>
            <w:proofErr w:type="spellEnd"/>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fontsize</w:t>
            </w:r>
            <w:proofErr w:type="spellEnd"/>
            <w:r>
              <w:rPr>
                <w:rFonts w:ascii="Consolas" w:eastAsia="Consolas" w:hAnsi="Consolas" w:cs="Consolas"/>
                <w:color w:val="1B1B1B"/>
                <w:sz w:val="21"/>
                <w:szCs w:val="21"/>
              </w:rPr>
              <w:t xml:space="preserve">=9, </w:t>
            </w:r>
            <w:proofErr w:type="spellStart"/>
            <w:r>
              <w:rPr>
                <w:rFonts w:ascii="Consolas" w:eastAsia="Consolas" w:hAnsi="Consolas" w:cs="Consolas"/>
                <w:color w:val="1B1B1B"/>
                <w:sz w:val="21"/>
                <w:szCs w:val="21"/>
              </w:rPr>
              <w:t>fontweight</w:t>
            </w:r>
            <w:proofErr w:type="spellEnd"/>
            <w:r>
              <w:rPr>
                <w:rFonts w:ascii="Consolas" w:eastAsia="Consolas" w:hAnsi="Consolas" w:cs="Consolas"/>
                <w:color w:val="1B1B1B"/>
                <w:sz w:val="21"/>
                <w:szCs w:val="21"/>
              </w:rPr>
              <w:t>="bold")</w:t>
            </w:r>
          </w:p>
          <w:p w14:paraId="602DD499" w14:textId="77777777" w:rsidR="00651EBC" w:rsidRDefault="00000000">
            <w:pPr>
              <w:spacing w:after="20"/>
            </w:pPr>
            <w:r>
              <w:rPr>
                <w:rFonts w:ascii="Consolas" w:eastAsia="Consolas" w:hAnsi="Consolas" w:cs="Consolas"/>
                <w:color w:val="1B1B1B"/>
                <w:sz w:val="21"/>
                <w:szCs w:val="21"/>
              </w:rPr>
              <w:t xml:space="preserve"> </w:t>
            </w:r>
          </w:p>
          <w:p w14:paraId="5941EE69" w14:textId="77777777" w:rsidR="00651EBC" w:rsidRDefault="00000000">
            <w:pPr>
              <w:spacing w:after="20"/>
            </w:pPr>
            <w:proofErr w:type="spellStart"/>
            <w:r>
              <w:rPr>
                <w:rFonts w:ascii="Consolas" w:eastAsia="Consolas" w:hAnsi="Consolas" w:cs="Consolas"/>
                <w:color w:val="1B1B1B"/>
                <w:sz w:val="21"/>
                <w:szCs w:val="21"/>
              </w:rPr>
              <w:t>plt.title</w:t>
            </w:r>
            <w:proofErr w:type="spellEnd"/>
            <w:r>
              <w:rPr>
                <w:rFonts w:ascii="Consolas" w:eastAsia="Consolas" w:hAnsi="Consolas" w:cs="Consolas"/>
                <w:color w:val="1B1B1B"/>
                <w:sz w:val="21"/>
                <w:szCs w:val="21"/>
              </w:rPr>
              <w:t>("Gross Capital Formation (% of GDP): India (2014–2025)")</w:t>
            </w:r>
          </w:p>
          <w:p w14:paraId="51642383" w14:textId="77777777" w:rsidR="00651EBC" w:rsidRDefault="00000000">
            <w:pPr>
              <w:spacing w:after="20"/>
            </w:pPr>
            <w:proofErr w:type="spellStart"/>
            <w:r>
              <w:rPr>
                <w:rFonts w:ascii="Consolas" w:eastAsia="Consolas" w:hAnsi="Consolas" w:cs="Consolas"/>
                <w:color w:val="1B1B1B"/>
                <w:sz w:val="21"/>
                <w:szCs w:val="21"/>
              </w:rPr>
              <w:t>plt.xlabel</w:t>
            </w:r>
            <w:proofErr w:type="spellEnd"/>
            <w:r>
              <w:rPr>
                <w:rFonts w:ascii="Consolas" w:eastAsia="Consolas" w:hAnsi="Consolas" w:cs="Consolas"/>
                <w:color w:val="1B1B1B"/>
                <w:sz w:val="21"/>
                <w:szCs w:val="21"/>
              </w:rPr>
              <w:t xml:space="preserve">("Year"); </w:t>
            </w:r>
            <w:proofErr w:type="spellStart"/>
            <w:r>
              <w:rPr>
                <w:rFonts w:ascii="Consolas" w:eastAsia="Consolas" w:hAnsi="Consolas" w:cs="Consolas"/>
                <w:color w:val="1B1B1B"/>
                <w:sz w:val="21"/>
                <w:szCs w:val="21"/>
              </w:rPr>
              <w:t>plt.ylabel</w:t>
            </w:r>
            <w:proofErr w:type="spellEnd"/>
            <w:r>
              <w:rPr>
                <w:rFonts w:ascii="Consolas" w:eastAsia="Consolas" w:hAnsi="Consolas" w:cs="Consolas"/>
                <w:color w:val="1B1B1B"/>
                <w:sz w:val="21"/>
                <w:szCs w:val="21"/>
              </w:rPr>
              <w:t>("Gross Capital Formation (% of GDP)")</w:t>
            </w:r>
          </w:p>
          <w:p w14:paraId="09B32B9D" w14:textId="77777777" w:rsidR="00651EBC" w:rsidRDefault="00000000">
            <w:pPr>
              <w:spacing w:after="20"/>
            </w:pPr>
            <w:proofErr w:type="spellStart"/>
            <w:r>
              <w:rPr>
                <w:rFonts w:ascii="Consolas" w:eastAsia="Consolas" w:hAnsi="Consolas" w:cs="Consolas"/>
                <w:color w:val="1B1B1B"/>
                <w:sz w:val="21"/>
                <w:szCs w:val="21"/>
              </w:rPr>
              <w:t>plt.xticks</w:t>
            </w:r>
            <w:proofErr w:type="spellEnd"/>
            <w:r>
              <w:rPr>
                <w:rFonts w:ascii="Consolas" w:eastAsia="Consolas" w:hAnsi="Consolas" w:cs="Consolas"/>
                <w:color w:val="1B1B1B"/>
                <w:sz w:val="21"/>
                <w:szCs w:val="21"/>
              </w:rPr>
              <w:t xml:space="preserve">(x); </w:t>
            </w:r>
            <w:proofErr w:type="spellStart"/>
            <w:r>
              <w:rPr>
                <w:rFonts w:ascii="Consolas" w:eastAsia="Consolas" w:hAnsi="Consolas" w:cs="Consolas"/>
                <w:color w:val="1B1B1B"/>
                <w:sz w:val="21"/>
                <w:szCs w:val="21"/>
              </w:rPr>
              <w:t>plt.grid</w:t>
            </w:r>
            <w:proofErr w:type="spellEnd"/>
            <w:r>
              <w:rPr>
                <w:rFonts w:ascii="Consolas" w:eastAsia="Consolas" w:hAnsi="Consolas" w:cs="Consolas"/>
                <w:color w:val="1B1B1B"/>
                <w:sz w:val="21"/>
                <w:szCs w:val="21"/>
              </w:rPr>
              <w:t>(alpha=0.3)</w:t>
            </w:r>
          </w:p>
          <w:p w14:paraId="399CE367" w14:textId="77777777" w:rsidR="00651EBC" w:rsidRDefault="00000000">
            <w:pPr>
              <w:spacing w:after="20"/>
            </w:pPr>
            <w:proofErr w:type="spellStart"/>
            <w:r>
              <w:rPr>
                <w:rFonts w:ascii="Consolas" w:eastAsia="Consolas" w:hAnsi="Consolas" w:cs="Consolas"/>
                <w:color w:val="1B1B1B"/>
                <w:sz w:val="21"/>
                <w:szCs w:val="21"/>
              </w:rPr>
              <w:t>plt.tight_layout</w:t>
            </w:r>
            <w:proofErr w:type="spellEnd"/>
            <w:r>
              <w:rPr>
                <w:rFonts w:ascii="Consolas" w:eastAsia="Consolas" w:hAnsi="Consolas" w:cs="Consolas"/>
                <w:color w:val="1B1B1B"/>
                <w:sz w:val="21"/>
                <w:szCs w:val="21"/>
              </w:rPr>
              <w:t xml:space="preserve">(); </w:t>
            </w:r>
            <w:proofErr w:type="spellStart"/>
            <w:r>
              <w:rPr>
                <w:rFonts w:ascii="Consolas" w:eastAsia="Consolas" w:hAnsi="Consolas" w:cs="Consolas"/>
                <w:color w:val="1B1B1B"/>
                <w:sz w:val="21"/>
                <w:szCs w:val="21"/>
              </w:rPr>
              <w:t>plt.show</w:t>
            </w:r>
            <w:proofErr w:type="spellEnd"/>
            <w:r>
              <w:rPr>
                <w:rFonts w:ascii="Consolas" w:eastAsia="Consolas" w:hAnsi="Consolas" w:cs="Consolas"/>
                <w:color w:val="1B1B1B"/>
                <w:sz w:val="21"/>
                <w:szCs w:val="21"/>
              </w:rPr>
              <w:t>()</w:t>
            </w:r>
          </w:p>
        </w:tc>
      </w:tr>
    </w:tbl>
    <w:p w14:paraId="129CA54D" w14:textId="77777777" w:rsidR="00651EBC" w:rsidRDefault="00000000">
      <w:pPr>
        <w:spacing w:after="160" w:line="276" w:lineRule="auto"/>
        <w:jc w:val="both"/>
      </w:pPr>
      <w:r>
        <w:t>This is the exact logic behind Figure 2: the key turning points (2014, 2016, 2020, 2025) are annotated directly on the line chart rather than left for the reader to read off the axis. The FDI trend chart (Figure 1) and the FDI–GCF scatter and regression (Figures 3 and 4) were produced the same way, substituting the FDI series and adding a fitted regression line respectively.</w:t>
      </w:r>
    </w:p>
    <w:p w14:paraId="4B081B44" w14:textId="77777777" w:rsidR="00A4225D" w:rsidRDefault="00A4225D">
      <w:pPr>
        <w:spacing w:after="160" w:line="276" w:lineRule="auto"/>
        <w:jc w:val="both"/>
      </w:pPr>
    </w:p>
    <w:p w14:paraId="69EF0828" w14:textId="77777777" w:rsidR="00A4225D" w:rsidRDefault="00A4225D">
      <w:pPr>
        <w:spacing w:after="160" w:line="276" w:lineRule="auto"/>
        <w:jc w:val="both"/>
      </w:pPr>
    </w:p>
    <w:p w14:paraId="5BBB211F" w14:textId="77777777" w:rsidR="00A4225D" w:rsidRDefault="00A4225D">
      <w:pPr>
        <w:spacing w:after="160" w:line="276" w:lineRule="auto"/>
        <w:jc w:val="both"/>
      </w:pPr>
    </w:p>
    <w:p w14:paraId="565BD9EF" w14:textId="77777777" w:rsidR="00A4225D" w:rsidRDefault="00A4225D">
      <w:pPr>
        <w:spacing w:after="160" w:line="276" w:lineRule="auto"/>
        <w:jc w:val="both"/>
      </w:pPr>
    </w:p>
    <w:p w14:paraId="3B763681" w14:textId="77777777" w:rsidR="00A4225D" w:rsidRDefault="00A4225D">
      <w:pPr>
        <w:spacing w:after="160" w:line="276" w:lineRule="auto"/>
        <w:jc w:val="both"/>
      </w:pPr>
    </w:p>
    <w:p w14:paraId="7D047F6E" w14:textId="77777777" w:rsidR="00A4225D" w:rsidRDefault="00A4225D">
      <w:pPr>
        <w:spacing w:after="160" w:line="276" w:lineRule="auto"/>
        <w:jc w:val="both"/>
      </w:pPr>
    </w:p>
    <w:p w14:paraId="0E795715" w14:textId="77777777" w:rsidR="00A4225D" w:rsidRDefault="00A4225D">
      <w:pPr>
        <w:spacing w:after="160" w:line="276" w:lineRule="auto"/>
        <w:jc w:val="both"/>
      </w:pPr>
    </w:p>
    <w:p w14:paraId="26C81321" w14:textId="77777777" w:rsidR="00A4225D" w:rsidRDefault="00A4225D">
      <w:pPr>
        <w:spacing w:after="160" w:line="276" w:lineRule="auto"/>
        <w:jc w:val="both"/>
      </w:pPr>
    </w:p>
    <w:p w14:paraId="65825EA2" w14:textId="77777777" w:rsidR="00A4225D" w:rsidRDefault="00A4225D">
      <w:pPr>
        <w:spacing w:after="160" w:line="276" w:lineRule="auto"/>
        <w:jc w:val="both"/>
      </w:pPr>
    </w:p>
    <w:p w14:paraId="11B2489E" w14:textId="77777777" w:rsidR="00A4225D" w:rsidRDefault="00A4225D">
      <w:pPr>
        <w:spacing w:after="160" w:line="276" w:lineRule="auto"/>
        <w:jc w:val="both"/>
      </w:pPr>
    </w:p>
    <w:p w14:paraId="1D400316" w14:textId="77777777" w:rsidR="00A4225D" w:rsidRDefault="00A4225D">
      <w:pPr>
        <w:spacing w:after="160" w:line="276" w:lineRule="auto"/>
        <w:jc w:val="both"/>
      </w:pPr>
    </w:p>
    <w:p w14:paraId="4AD69680" w14:textId="77777777" w:rsidR="00A4225D" w:rsidRDefault="00A4225D">
      <w:pPr>
        <w:spacing w:after="160" w:line="276" w:lineRule="auto"/>
        <w:jc w:val="both"/>
      </w:pPr>
    </w:p>
    <w:p w14:paraId="51123EAC" w14:textId="77777777" w:rsidR="00A4225D" w:rsidRDefault="00A4225D">
      <w:pPr>
        <w:spacing w:after="160" w:line="276" w:lineRule="auto"/>
        <w:jc w:val="both"/>
      </w:pPr>
    </w:p>
    <w:p w14:paraId="6DB7ECEC" w14:textId="77777777" w:rsidR="00A4225D" w:rsidRDefault="00A4225D" w:rsidP="00A4225D">
      <w:pPr>
        <w:spacing w:after="160" w:line="276" w:lineRule="auto"/>
        <w:jc w:val="center"/>
        <w:rPr>
          <w:rFonts w:ascii="Bahnschrift" w:hAnsi="Bahnschrift"/>
          <w:b/>
          <w:bCs/>
          <w:sz w:val="72"/>
          <w:szCs w:val="72"/>
        </w:rPr>
      </w:pPr>
    </w:p>
    <w:p w14:paraId="2C405D6B" w14:textId="77777777" w:rsidR="00A4225D" w:rsidRDefault="00A4225D" w:rsidP="00A4225D">
      <w:pPr>
        <w:spacing w:after="160" w:line="276" w:lineRule="auto"/>
        <w:jc w:val="center"/>
        <w:rPr>
          <w:rFonts w:ascii="Bahnschrift" w:hAnsi="Bahnschrift"/>
          <w:b/>
          <w:bCs/>
          <w:sz w:val="72"/>
          <w:szCs w:val="72"/>
        </w:rPr>
      </w:pPr>
    </w:p>
    <w:p w14:paraId="62E5E7FD" w14:textId="77777777" w:rsidR="00A4225D" w:rsidRDefault="00A4225D" w:rsidP="00A4225D">
      <w:pPr>
        <w:spacing w:after="160" w:line="276" w:lineRule="auto"/>
        <w:jc w:val="center"/>
        <w:rPr>
          <w:rFonts w:ascii="Bahnschrift" w:hAnsi="Bahnschrift"/>
          <w:b/>
          <w:bCs/>
          <w:sz w:val="72"/>
          <w:szCs w:val="72"/>
        </w:rPr>
      </w:pPr>
    </w:p>
    <w:p w14:paraId="422F1B30" w14:textId="77777777" w:rsidR="00A4225D" w:rsidRDefault="00A4225D" w:rsidP="00A4225D">
      <w:pPr>
        <w:spacing w:after="160" w:line="276" w:lineRule="auto"/>
        <w:jc w:val="center"/>
        <w:rPr>
          <w:rFonts w:ascii="Bahnschrift" w:hAnsi="Bahnschrift"/>
          <w:b/>
          <w:bCs/>
          <w:sz w:val="72"/>
          <w:szCs w:val="72"/>
        </w:rPr>
      </w:pPr>
    </w:p>
    <w:p w14:paraId="160283EE" w14:textId="2901B951" w:rsidR="00A4225D" w:rsidRPr="00A4225D" w:rsidRDefault="00A4225D" w:rsidP="00A4225D">
      <w:pPr>
        <w:spacing w:after="160" w:line="276" w:lineRule="auto"/>
        <w:jc w:val="center"/>
        <w:rPr>
          <w:rFonts w:ascii="Bahnschrift" w:hAnsi="Bahnschrift"/>
          <w:b/>
          <w:bCs/>
          <w:color w:val="4472C4" w:themeColor="accent1"/>
          <w:sz w:val="72"/>
          <w:szCs w:val="72"/>
        </w:rPr>
      </w:pPr>
      <w:r w:rsidRPr="00A4225D">
        <w:rPr>
          <w:rFonts w:ascii="Bahnschrift" w:hAnsi="Bahnschrift"/>
          <w:b/>
          <w:bCs/>
          <w:color w:val="4472C4" w:themeColor="accent1"/>
          <w:sz w:val="72"/>
          <w:szCs w:val="72"/>
        </w:rPr>
        <w:t>Thank you for reading!</w:t>
      </w:r>
    </w:p>
    <w:sectPr w:rsidR="00A4225D" w:rsidRPr="00A4225D">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D70D4" w14:textId="77777777" w:rsidR="00E24918" w:rsidRDefault="00E24918">
      <w:r>
        <w:separator/>
      </w:r>
    </w:p>
  </w:endnote>
  <w:endnote w:type="continuationSeparator" w:id="0">
    <w:p w14:paraId="0A905685" w14:textId="77777777" w:rsidR="00E24918" w:rsidRDefault="00E24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90816" w14:textId="77777777" w:rsidR="00651EBC" w:rsidRDefault="00000000">
    <w:pPr>
      <w:jc w:val="center"/>
    </w:pPr>
    <w:r>
      <w:rPr>
        <w:color w:val="44546A"/>
        <w:sz w:val="18"/>
        <w:szCs w:val="18"/>
      </w:rPr>
      <w:t xml:space="preserve">Page </w:t>
    </w:r>
    <w:r>
      <w:rPr>
        <w:color w:val="44546A"/>
        <w:sz w:val="18"/>
        <w:szCs w:val="18"/>
      </w:rPr>
      <w:fldChar w:fldCharType="begin"/>
    </w:r>
    <w:r>
      <w:rPr>
        <w:color w:val="44546A"/>
        <w:sz w:val="18"/>
        <w:szCs w:val="18"/>
      </w:rPr>
      <w:instrText>PAGE</w:instrText>
    </w:r>
    <w:r>
      <w:rPr>
        <w:color w:val="44546A"/>
        <w:sz w:val="18"/>
        <w:szCs w:val="18"/>
      </w:rPr>
      <w:fldChar w:fldCharType="separate"/>
    </w:r>
    <w:r w:rsidR="00A4225D">
      <w:rPr>
        <w:noProof/>
        <w:color w:val="44546A"/>
        <w:sz w:val="18"/>
        <w:szCs w:val="18"/>
      </w:rPr>
      <w:t>2</w:t>
    </w:r>
    <w:r>
      <w:rPr>
        <w:color w:val="44546A"/>
        <w:sz w:val="18"/>
        <w:szCs w:val="18"/>
      </w:rPr>
      <w:fldChar w:fldCharType="end"/>
    </w:r>
    <w:r>
      <w:rPr>
        <w:color w:val="44546A"/>
        <w:sz w:val="18"/>
        <w:szCs w:val="18"/>
      </w:rPr>
      <w:t xml:space="preserve"> of </w:t>
    </w:r>
    <w:r>
      <w:rPr>
        <w:color w:val="44546A"/>
        <w:sz w:val="18"/>
        <w:szCs w:val="18"/>
      </w:rPr>
      <w:fldChar w:fldCharType="begin"/>
    </w:r>
    <w:r>
      <w:rPr>
        <w:color w:val="44546A"/>
        <w:sz w:val="18"/>
        <w:szCs w:val="18"/>
      </w:rPr>
      <w:instrText>NUMPAGES</w:instrText>
    </w:r>
    <w:r>
      <w:rPr>
        <w:color w:val="44546A"/>
        <w:sz w:val="18"/>
        <w:szCs w:val="18"/>
      </w:rPr>
      <w:fldChar w:fldCharType="separate"/>
    </w:r>
    <w:r w:rsidR="00A4225D">
      <w:rPr>
        <w:noProof/>
        <w:color w:val="44546A"/>
        <w:sz w:val="18"/>
        <w:szCs w:val="18"/>
      </w:rPr>
      <w:t>3</w:t>
    </w:r>
    <w:r>
      <w:rPr>
        <w:color w:val="4454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9D138" w14:textId="77777777" w:rsidR="00E24918" w:rsidRDefault="00E24918">
      <w:r>
        <w:separator/>
      </w:r>
    </w:p>
  </w:footnote>
  <w:footnote w:type="continuationSeparator" w:id="0">
    <w:p w14:paraId="010263F4" w14:textId="77777777" w:rsidR="00E24918" w:rsidRDefault="00E24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5553" w14:textId="77777777" w:rsidR="00651EBC" w:rsidRDefault="00000000">
    <w:pPr>
      <w:pBdr>
        <w:bottom w:val="single" w:sz="4" w:space="4" w:color="BFBFBF"/>
      </w:pBdr>
      <w:tabs>
        <w:tab w:val="right" w:pos="9026"/>
      </w:tabs>
    </w:pPr>
    <w:r>
      <w:rPr>
        <w:color w:val="44546A"/>
        <w:sz w:val="18"/>
        <w:szCs w:val="18"/>
      </w:rPr>
      <w:t>Investment Trends in India — EDA Report</w:t>
    </w:r>
    <w:r>
      <w:rPr>
        <w:color w:val="44546A"/>
        <w:sz w:val="18"/>
        <w:szCs w:val="18"/>
      </w:rPr>
      <w:tab/>
      <w:t>FDI &amp; Gross Capital Formation, 2014–2025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C0F"/>
    <w:multiLevelType w:val="hybridMultilevel"/>
    <w:tmpl w:val="4B5EEA82"/>
    <w:lvl w:ilvl="0" w:tplc="FB602298">
      <w:start w:val="1"/>
      <w:numFmt w:val="bullet"/>
      <w:lvlText w:val="•"/>
      <w:lvlJc w:val="left"/>
      <w:pPr>
        <w:ind w:left="460" w:hanging="260"/>
      </w:pPr>
    </w:lvl>
    <w:lvl w:ilvl="1" w:tplc="6FE8AC88">
      <w:start w:val="1"/>
      <w:numFmt w:val="bullet"/>
      <w:lvlText w:val="◦"/>
      <w:lvlJc w:val="left"/>
      <w:pPr>
        <w:ind w:left="820" w:hanging="260"/>
      </w:pPr>
    </w:lvl>
    <w:lvl w:ilvl="2" w:tplc="749020DC">
      <w:numFmt w:val="decimal"/>
      <w:lvlText w:val=""/>
      <w:lvlJc w:val="left"/>
    </w:lvl>
    <w:lvl w:ilvl="3" w:tplc="02D29274">
      <w:numFmt w:val="decimal"/>
      <w:lvlText w:val=""/>
      <w:lvlJc w:val="left"/>
    </w:lvl>
    <w:lvl w:ilvl="4" w:tplc="0CE60FC6">
      <w:numFmt w:val="decimal"/>
      <w:lvlText w:val=""/>
      <w:lvlJc w:val="left"/>
    </w:lvl>
    <w:lvl w:ilvl="5" w:tplc="A05C564A">
      <w:numFmt w:val="decimal"/>
      <w:lvlText w:val=""/>
      <w:lvlJc w:val="left"/>
    </w:lvl>
    <w:lvl w:ilvl="6" w:tplc="E7BA645A">
      <w:numFmt w:val="decimal"/>
      <w:lvlText w:val=""/>
      <w:lvlJc w:val="left"/>
    </w:lvl>
    <w:lvl w:ilvl="7" w:tplc="3CE23A20">
      <w:numFmt w:val="decimal"/>
      <w:lvlText w:val=""/>
      <w:lvlJc w:val="left"/>
    </w:lvl>
    <w:lvl w:ilvl="8" w:tplc="4F2249FA">
      <w:numFmt w:val="decimal"/>
      <w:lvlText w:val=""/>
      <w:lvlJc w:val="left"/>
    </w:lvl>
  </w:abstractNum>
  <w:abstractNum w:abstractNumId="1" w15:restartNumberingAfterBreak="0">
    <w:nsid w:val="60FE3286"/>
    <w:multiLevelType w:val="hybridMultilevel"/>
    <w:tmpl w:val="C50E3732"/>
    <w:lvl w:ilvl="0" w:tplc="0C6839BC">
      <w:start w:val="1"/>
      <w:numFmt w:val="bullet"/>
      <w:lvlText w:val="●"/>
      <w:lvlJc w:val="left"/>
      <w:pPr>
        <w:ind w:left="720" w:hanging="360"/>
      </w:pPr>
    </w:lvl>
    <w:lvl w:ilvl="1" w:tplc="6F3E029C">
      <w:start w:val="1"/>
      <w:numFmt w:val="bullet"/>
      <w:lvlText w:val="○"/>
      <w:lvlJc w:val="left"/>
      <w:pPr>
        <w:ind w:left="1440" w:hanging="360"/>
      </w:pPr>
    </w:lvl>
    <w:lvl w:ilvl="2" w:tplc="746853A4">
      <w:start w:val="1"/>
      <w:numFmt w:val="bullet"/>
      <w:lvlText w:val="■"/>
      <w:lvlJc w:val="left"/>
      <w:pPr>
        <w:ind w:left="2160" w:hanging="360"/>
      </w:pPr>
    </w:lvl>
    <w:lvl w:ilvl="3" w:tplc="323443E2">
      <w:start w:val="1"/>
      <w:numFmt w:val="bullet"/>
      <w:lvlText w:val="●"/>
      <w:lvlJc w:val="left"/>
      <w:pPr>
        <w:ind w:left="2880" w:hanging="360"/>
      </w:pPr>
    </w:lvl>
    <w:lvl w:ilvl="4" w:tplc="91F4D154">
      <w:start w:val="1"/>
      <w:numFmt w:val="bullet"/>
      <w:lvlText w:val="○"/>
      <w:lvlJc w:val="left"/>
      <w:pPr>
        <w:ind w:left="3600" w:hanging="360"/>
      </w:pPr>
    </w:lvl>
    <w:lvl w:ilvl="5" w:tplc="3BB6FD80">
      <w:start w:val="1"/>
      <w:numFmt w:val="bullet"/>
      <w:lvlText w:val="■"/>
      <w:lvlJc w:val="left"/>
      <w:pPr>
        <w:ind w:left="4320" w:hanging="360"/>
      </w:pPr>
    </w:lvl>
    <w:lvl w:ilvl="6" w:tplc="D7E062D6">
      <w:start w:val="1"/>
      <w:numFmt w:val="bullet"/>
      <w:lvlText w:val="●"/>
      <w:lvlJc w:val="left"/>
      <w:pPr>
        <w:ind w:left="5040" w:hanging="360"/>
      </w:pPr>
    </w:lvl>
    <w:lvl w:ilvl="7" w:tplc="2B7A388E">
      <w:start w:val="1"/>
      <w:numFmt w:val="bullet"/>
      <w:lvlText w:val="●"/>
      <w:lvlJc w:val="left"/>
      <w:pPr>
        <w:ind w:left="5760" w:hanging="360"/>
      </w:pPr>
    </w:lvl>
    <w:lvl w:ilvl="8" w:tplc="FBC8AA68">
      <w:start w:val="1"/>
      <w:numFmt w:val="bullet"/>
      <w:lvlText w:val="●"/>
      <w:lvlJc w:val="left"/>
      <w:pPr>
        <w:ind w:left="6480" w:hanging="360"/>
      </w:pPr>
    </w:lvl>
  </w:abstractNum>
  <w:num w:numId="1" w16cid:durableId="917254327">
    <w:abstractNumId w:val="1"/>
    <w:lvlOverride w:ilvl="0">
      <w:startOverride w:val="1"/>
    </w:lvlOverride>
  </w:num>
  <w:num w:numId="2" w16cid:durableId="418872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EBC"/>
    <w:rsid w:val="00585788"/>
    <w:rsid w:val="00651EBC"/>
    <w:rsid w:val="00A4225D"/>
    <w:rsid w:val="00D52AA7"/>
    <w:rsid w:val="00E24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954F"/>
  <w15:docId w15:val="{D2695C9E-8F38-4FFA-81DC-609163A7E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3864"/>
      <w:sz w:val="32"/>
      <w:szCs w:val="32"/>
    </w:rPr>
  </w:style>
  <w:style w:type="paragraph" w:styleId="Heading2">
    <w:name w:val="heading 2"/>
    <w:uiPriority w:val="9"/>
    <w:unhideWhenUsed/>
    <w:qFormat/>
    <w:pPr>
      <w:spacing w:before="320" w:after="140"/>
      <w:outlineLvl w:val="1"/>
    </w:pPr>
    <w:rPr>
      <w:b/>
      <w:bCs/>
      <w:color w:val="44546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2820</Words>
  <Characters>16077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PRASANTA KUMAR MODAK</cp:lastModifiedBy>
  <cp:revision>2</cp:revision>
  <dcterms:created xsi:type="dcterms:W3CDTF">2026-07-26T08:19:00Z</dcterms:created>
  <dcterms:modified xsi:type="dcterms:W3CDTF">2026-07-26T08:31:00Z</dcterms:modified>
</cp:coreProperties>
</file>