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84C2" w14:textId="4809193D" w:rsidR="008B55D6" w:rsidRDefault="008B55D6">
      <w:pPr>
        <w:rPr>
          <w:lang w:val="en-US"/>
        </w:rPr>
      </w:pPr>
      <w:r>
        <w:rPr>
          <w:lang w:val="en-US"/>
        </w:rPr>
        <w:t>This dataset looks at the financial position of India’s banking/depository sector, including:</w:t>
      </w:r>
    </w:p>
    <w:p w14:paraId="21666F0C" w14:textId="03961630" w:rsidR="008B55D6" w:rsidRDefault="008B55D6" w:rsidP="008B55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assets they hold</w:t>
      </w:r>
    </w:p>
    <w:p w14:paraId="6DBBC3A9" w14:textId="4C26F6B8" w:rsidR="008B55D6" w:rsidRDefault="008B55D6" w:rsidP="008B55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Who they have claims on</w:t>
      </w:r>
    </w:p>
    <w:p w14:paraId="0F3082FA" w14:textId="72CF8E17" w:rsidR="008B55D6" w:rsidRDefault="008B55D6" w:rsidP="008B55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liabilities they owe</w:t>
      </w:r>
    </w:p>
    <w:p w14:paraId="329AD5DE" w14:textId="13145DBA" w:rsidR="008B55D6" w:rsidRDefault="008B55D6" w:rsidP="008B55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Deposits and components of broad money</w:t>
      </w:r>
    </w:p>
    <w:p w14:paraId="66FBD63E" w14:textId="5408EBDB" w:rsidR="008B55D6" w:rsidRDefault="008B55D6" w:rsidP="008B55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Foreign assets and foreign liabilities</w:t>
      </w:r>
    </w:p>
    <w:p w14:paraId="2AC7F7DF" w14:textId="69E6E160" w:rsidR="008B55D6" w:rsidRDefault="008B55D6" w:rsidP="008B55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Their relationship with the central government, state government, RBI/Central bank, private sector, and non-residents</w:t>
      </w:r>
    </w:p>
    <w:p w14:paraId="79754659" w14:textId="77777777" w:rsidR="008B55D6" w:rsidRDefault="008B55D6" w:rsidP="008B55D6">
      <w:pPr>
        <w:rPr>
          <w:lang w:val="en-US"/>
        </w:rPr>
      </w:pPr>
    </w:p>
    <w:p w14:paraId="354DDCFF" w14:textId="541757E3" w:rsidR="008B55D6" w:rsidRDefault="008B55D6" w:rsidP="008B55D6">
      <w:pPr>
        <w:rPr>
          <w:lang w:val="en-US"/>
        </w:rPr>
      </w:pPr>
      <w:r>
        <w:rPr>
          <w:lang w:val="en-US"/>
        </w:rPr>
        <w:t>The evolution of India’s banking and monetary financial structure over time.</w:t>
      </w:r>
    </w:p>
    <w:p w14:paraId="1B1D1173" w14:textId="77777777" w:rsidR="008B55D6" w:rsidRDefault="008B55D6" w:rsidP="008B55D6">
      <w:pPr>
        <w:rPr>
          <w:lang w:val="en-US"/>
        </w:rPr>
      </w:pPr>
    </w:p>
    <w:p w14:paraId="33F8F4B6" w14:textId="65A58DE7" w:rsidR="00342AAA" w:rsidRDefault="00342AAA" w:rsidP="008B55D6">
      <w:pPr>
        <w:rPr>
          <w:b/>
          <w:bCs/>
        </w:rPr>
      </w:pPr>
      <w:r w:rsidRPr="00342AAA">
        <w:rPr>
          <w:b/>
          <w:bCs/>
        </w:rPr>
        <w:t>International Monetary Fund (IMF)</w:t>
      </w:r>
      <w:r w:rsidRPr="00342AAA">
        <w:t xml:space="preserve">, </w:t>
      </w:r>
      <w:r w:rsidRPr="00342AAA">
        <w:rPr>
          <w:b/>
          <w:bCs/>
        </w:rPr>
        <w:t>ODCs</w:t>
      </w:r>
      <w:r w:rsidRPr="00342AAA">
        <w:t xml:space="preserve"> stands for </w:t>
      </w:r>
      <w:r w:rsidRPr="00342AAA">
        <w:rPr>
          <w:b/>
          <w:bCs/>
        </w:rPr>
        <w:t>Other Depository Corporations</w:t>
      </w:r>
    </w:p>
    <w:p w14:paraId="75F5558C" w14:textId="00199D98" w:rsidR="00342AAA" w:rsidRDefault="00342AAA" w:rsidP="008B55D6">
      <w:r w:rsidRPr="00342AAA">
        <w:t xml:space="preserve">This is a core classification used in the IMF's </w:t>
      </w:r>
      <w:r w:rsidRPr="00342AAA">
        <w:rPr>
          <w:b/>
          <w:bCs/>
        </w:rPr>
        <w:t>Monetary and Financial Statistics (MFS)</w:t>
      </w:r>
      <w:r w:rsidRPr="00342AAA">
        <w:t xml:space="preserve"> framework. It encompasses all resident financial institutions—excluding the central bank—that issue liabilities included in a country's national definition of </w:t>
      </w:r>
      <w:r w:rsidRPr="00342AAA">
        <w:rPr>
          <w:b/>
          <w:bCs/>
        </w:rPr>
        <w:t>broad money</w:t>
      </w:r>
      <w:r w:rsidRPr="00342AAA">
        <w:t>.</w:t>
      </w:r>
    </w:p>
    <w:p w14:paraId="3283C8DF" w14:textId="77777777" w:rsidR="00342AAA" w:rsidRPr="00342AAA" w:rsidRDefault="00342AAA" w:rsidP="00342AAA">
      <w:r w:rsidRPr="00342AAA">
        <w:t>The Financial Sector Hierarchy</w:t>
      </w:r>
    </w:p>
    <w:p w14:paraId="04BDF300" w14:textId="338BF5F1" w:rsidR="00342AAA" w:rsidRDefault="00342AAA" w:rsidP="00342AAA">
      <w:r w:rsidRPr="00342AAA">
        <w:t xml:space="preserve">The IMF divides the financial </w:t>
      </w:r>
      <w:proofErr w:type="gramStart"/>
      <w:r w:rsidRPr="00342AAA">
        <w:t>corporations</w:t>
      </w:r>
      <w:proofErr w:type="gramEnd"/>
      <w:r w:rsidRPr="00342AAA">
        <w:t xml:space="preserve"> sector into three main subsectors to track macro-financial linkages and compile standardized economic data</w:t>
      </w:r>
      <w:r>
        <w:t>.</w:t>
      </w:r>
    </w:p>
    <w:p w14:paraId="590BDDB9" w14:textId="77777777" w:rsidR="00342AAA" w:rsidRPr="00342AAA" w:rsidRDefault="00342AAA" w:rsidP="00342AAA"/>
    <w:p w14:paraId="061FEE44" w14:textId="77777777" w:rsidR="00342AAA" w:rsidRPr="00342AAA" w:rsidRDefault="00342AAA" w:rsidP="00342AAA">
      <w:pPr>
        <w:numPr>
          <w:ilvl w:val="0"/>
          <w:numId w:val="2"/>
        </w:numPr>
      </w:pPr>
      <w:r w:rsidRPr="00342AAA">
        <w:rPr>
          <w:b/>
          <w:bCs/>
        </w:rPr>
        <w:t>Central Bank (CB):</w:t>
      </w:r>
      <w:r w:rsidRPr="00342AAA">
        <w:t xml:space="preserve"> The national monetary authority.</w:t>
      </w:r>
    </w:p>
    <w:p w14:paraId="12046113" w14:textId="77777777" w:rsidR="00342AAA" w:rsidRPr="00342AAA" w:rsidRDefault="00342AAA" w:rsidP="00342AAA">
      <w:pPr>
        <w:numPr>
          <w:ilvl w:val="0"/>
          <w:numId w:val="2"/>
        </w:numPr>
      </w:pPr>
      <w:r w:rsidRPr="00342AAA">
        <w:rPr>
          <w:b/>
          <w:bCs/>
        </w:rPr>
        <w:t>Other Depository Corporations (ODCs):</w:t>
      </w:r>
      <w:r w:rsidRPr="00342AAA">
        <w:t xml:space="preserve"> Commercial banks, savings banks, credit unions, and money market funds (if their liabilities are part of broad money).</w:t>
      </w:r>
    </w:p>
    <w:p w14:paraId="4D0CDC7C" w14:textId="745832BC" w:rsidR="00342AAA" w:rsidRPr="00342AAA" w:rsidRDefault="00342AAA" w:rsidP="00342AAA">
      <w:pPr>
        <w:numPr>
          <w:ilvl w:val="0"/>
          <w:numId w:val="2"/>
        </w:numPr>
      </w:pPr>
      <w:r w:rsidRPr="00342AAA">
        <w:rPr>
          <w:b/>
          <w:bCs/>
        </w:rPr>
        <w:t>Other Financial Corporations (OFCs):</w:t>
      </w:r>
      <w:r w:rsidRPr="00342AAA">
        <w:t xml:space="preserve"> Insurance companies, pension funds, and non-money market investment funds</w:t>
      </w:r>
    </w:p>
    <w:p w14:paraId="01735EF0" w14:textId="77777777" w:rsidR="00342AAA" w:rsidRPr="00342AAA" w:rsidRDefault="00342AAA" w:rsidP="00342AAA">
      <w:r w:rsidRPr="00342AAA">
        <w:t>The ODC Survey (ODCS)</w:t>
      </w:r>
    </w:p>
    <w:p w14:paraId="420DC127" w14:textId="581711A5" w:rsidR="00342AAA" w:rsidRPr="00342AAA" w:rsidRDefault="00342AAA" w:rsidP="00342AAA">
      <w:r w:rsidRPr="00342AAA">
        <w:t xml:space="preserve">The </w:t>
      </w:r>
      <w:r w:rsidRPr="00342AAA">
        <w:rPr>
          <w:b/>
          <w:bCs/>
        </w:rPr>
        <w:t>Other Depository Corporations Survey (ODCS)</w:t>
      </w:r>
      <w:r w:rsidRPr="00342AAA">
        <w:t xml:space="preserve"> is an analytical sheet compiled from the aggregated balance sheets of all ODCs in a country.</w:t>
      </w:r>
    </w:p>
    <w:p w14:paraId="24B7D634" w14:textId="77777777" w:rsidR="00342AAA" w:rsidRPr="00342AAA" w:rsidRDefault="00342AAA" w:rsidP="00342AAA">
      <w:pPr>
        <w:numPr>
          <w:ilvl w:val="0"/>
          <w:numId w:val="3"/>
        </w:numPr>
      </w:pPr>
      <w:r w:rsidRPr="00342AAA">
        <w:rPr>
          <w:b/>
          <w:bCs/>
        </w:rPr>
        <w:t>Purpose:</w:t>
      </w:r>
      <w:r w:rsidRPr="00342AAA">
        <w:t xml:space="preserve"> It highlights the sector's financial assets and liabilities, liquidity levels, and cross-border linkages with </w:t>
      </w:r>
      <w:proofErr w:type="spellStart"/>
      <w:r w:rsidRPr="00342AAA">
        <w:t>nonresidents</w:t>
      </w:r>
      <w:proofErr w:type="spellEnd"/>
      <w:r w:rsidRPr="00342AAA">
        <w:t>.</w:t>
      </w:r>
    </w:p>
    <w:p w14:paraId="3BA15073" w14:textId="080CCBB9" w:rsidR="00342AAA" w:rsidRPr="00342AAA" w:rsidRDefault="00342AAA" w:rsidP="00342AAA">
      <w:pPr>
        <w:numPr>
          <w:ilvl w:val="0"/>
          <w:numId w:val="3"/>
        </w:numPr>
      </w:pPr>
      <w:r w:rsidRPr="00342AAA">
        <w:rPr>
          <w:b/>
          <w:bCs/>
        </w:rPr>
        <w:t>The Bigger Picture:</w:t>
      </w:r>
      <w:r w:rsidRPr="00342AAA">
        <w:t xml:space="preserve"> The IMF consolidates the Central Bank Survey and the </w:t>
      </w:r>
      <w:r w:rsidRPr="00342AAA">
        <w:rPr>
          <w:b/>
          <w:bCs/>
        </w:rPr>
        <w:t>ODCS</w:t>
      </w:r>
      <w:r w:rsidRPr="00342AAA">
        <w:t xml:space="preserve"> into a unified </w:t>
      </w:r>
      <w:r w:rsidRPr="00342AAA">
        <w:rPr>
          <w:b/>
          <w:bCs/>
        </w:rPr>
        <w:t>Depository Corporations Survey (DCS)</w:t>
      </w:r>
      <w:r w:rsidRPr="00342AAA">
        <w:t xml:space="preserve">. The DCS is the primary tool used by economists and policymakers to measure total broad money supply and </w:t>
      </w:r>
      <w:proofErr w:type="spellStart"/>
      <w:r w:rsidRPr="00342AAA">
        <w:t>analyze</w:t>
      </w:r>
      <w:proofErr w:type="spellEnd"/>
      <w:r w:rsidRPr="00342AAA">
        <w:t xml:space="preserve"> domestic credit expansion. </w:t>
      </w:r>
    </w:p>
    <w:p w14:paraId="1BDC583F" w14:textId="4D36F1D5" w:rsidR="00342AAA" w:rsidRDefault="00342AAA" w:rsidP="00342AAA">
      <w:pPr>
        <w:pStyle w:val="ListParagraph"/>
        <w:numPr>
          <w:ilvl w:val="0"/>
          <w:numId w:val="3"/>
        </w:numPr>
      </w:pPr>
      <w:proofErr w:type="gramStart"/>
      <w:r w:rsidRPr="00342AAA">
        <w:rPr>
          <w:rFonts w:hAnsi="Symbol"/>
        </w:rPr>
        <w:lastRenderedPageBreak/>
        <w:t></w:t>
      </w:r>
      <w:r>
        <w:t xml:space="preserve">  </w:t>
      </w:r>
      <w:r w:rsidRPr="00342AAA">
        <w:rPr>
          <w:rStyle w:val="Strong"/>
          <w:rFonts w:ascii="Arial" w:hAnsi="Arial" w:cs="Arial"/>
        </w:rPr>
        <w:t>Definition</w:t>
      </w:r>
      <w:proofErr w:type="gramEnd"/>
      <w:r w:rsidRPr="00342AAA">
        <w:rPr>
          <w:rStyle w:val="Strong"/>
          <w:rFonts w:ascii="Arial" w:hAnsi="Arial" w:cs="Arial"/>
        </w:rPr>
        <w:t xml:space="preserve"> of ODCs:</w:t>
      </w:r>
      <w:r w:rsidRPr="00342AAA">
        <w:rPr>
          <w:rStyle w:val="inqyif"/>
          <w:rFonts w:ascii="Arial" w:hAnsi="Arial" w:cs="Arial"/>
        </w:rPr>
        <w:t xml:space="preserve"> The IMF defines </w:t>
      </w:r>
      <w:r w:rsidRPr="00342AAA">
        <w:rPr>
          <w:rStyle w:val="Strong"/>
          <w:rFonts w:ascii="Arial" w:hAnsi="Arial" w:cs="Arial"/>
        </w:rPr>
        <w:t>Other Depository Corporations</w:t>
      </w:r>
      <w:r w:rsidRPr="00342AAA">
        <w:rPr>
          <w:rStyle w:val="inqyif"/>
          <w:rFonts w:ascii="Arial" w:hAnsi="Arial" w:cs="Arial"/>
        </w:rPr>
        <w:t xml:space="preserve"> as all resident financial corporations (except the central bank) that incur liabilities included in the national definition of broad money. This typically includes commercial banks, savings banks, and credit unions.</w:t>
      </w:r>
      <w:r>
        <w:t xml:space="preserve"> </w:t>
      </w:r>
    </w:p>
    <w:p w14:paraId="6F323A1B" w14:textId="7E639423" w:rsidR="00342AAA" w:rsidRDefault="00342AAA" w:rsidP="00342AAA">
      <w:pPr>
        <w:pStyle w:val="ListParagraph"/>
        <w:numPr>
          <w:ilvl w:val="0"/>
          <w:numId w:val="3"/>
        </w:numPr>
      </w:pPr>
      <w:proofErr w:type="gramStart"/>
      <w:r w:rsidRPr="00342AAA">
        <w:rPr>
          <w:rFonts w:hAnsi="Symbol"/>
        </w:rPr>
        <w:t></w:t>
      </w:r>
      <w:r>
        <w:t xml:space="preserve">  </w:t>
      </w:r>
      <w:r w:rsidRPr="00342AAA">
        <w:rPr>
          <w:rStyle w:val="Strong"/>
          <w:rFonts w:ascii="Arial" w:hAnsi="Arial" w:cs="Arial"/>
        </w:rPr>
        <w:t>The</w:t>
      </w:r>
      <w:proofErr w:type="gramEnd"/>
      <w:r w:rsidRPr="00342AAA">
        <w:rPr>
          <w:rStyle w:val="Strong"/>
          <w:rFonts w:ascii="Arial" w:hAnsi="Arial" w:cs="Arial"/>
        </w:rPr>
        <w:t xml:space="preserve"> ODCS Structure:</w:t>
      </w:r>
      <w:r w:rsidRPr="00342AAA">
        <w:rPr>
          <w:rStyle w:val="inqyif"/>
          <w:rFonts w:ascii="Arial" w:hAnsi="Arial" w:cs="Arial"/>
        </w:rPr>
        <w:t xml:space="preserve"> The </w:t>
      </w:r>
      <w:r w:rsidRPr="00342AAA">
        <w:rPr>
          <w:rStyle w:val="Strong"/>
          <w:rFonts w:ascii="Arial" w:hAnsi="Arial" w:cs="Arial"/>
        </w:rPr>
        <w:t>Other Depository Corporations Survey (ODCS)</w:t>
      </w:r>
      <w:r w:rsidRPr="00342AAA">
        <w:rPr>
          <w:rStyle w:val="inqyif"/>
          <w:rFonts w:ascii="Arial" w:hAnsi="Arial" w:cs="Arial"/>
        </w:rPr>
        <w:t xml:space="preserve"> is an analytical framework that reorganizes raw sectoral balance sheets to isolate broad money liabilities and track credit distribution across the economy.</w:t>
      </w:r>
      <w:r>
        <w:t xml:space="preserve"> </w:t>
      </w:r>
    </w:p>
    <w:p w14:paraId="74EC1A1D" w14:textId="4FE8609A" w:rsidR="00342AAA" w:rsidRDefault="00342AAA" w:rsidP="00342AAA">
      <w:pPr>
        <w:pStyle w:val="ListParagraph"/>
        <w:numPr>
          <w:ilvl w:val="0"/>
          <w:numId w:val="3"/>
        </w:numPr>
      </w:pPr>
      <w:r w:rsidRPr="00342AAA">
        <w:rPr>
          <w:rFonts w:hAnsi="Symbol"/>
        </w:rPr>
        <w:t></w:t>
      </w:r>
      <w:r>
        <w:t xml:space="preserve">  </w:t>
      </w:r>
      <w:r w:rsidRPr="00342AAA">
        <w:rPr>
          <w:rStyle w:val="Strong"/>
          <w:rFonts w:ascii="Arial" w:hAnsi="Arial" w:cs="Arial"/>
        </w:rPr>
        <w:t>The DCS Consolidation:</w:t>
      </w:r>
      <w:r w:rsidRPr="00342AAA">
        <w:rPr>
          <w:rStyle w:val="inqyif"/>
          <w:rFonts w:ascii="Arial" w:hAnsi="Arial" w:cs="Arial"/>
        </w:rPr>
        <w:t xml:space="preserve"> The IMF’s </w:t>
      </w:r>
      <w:hyperlink r:id="rId5" w:tgtFrame="_blank" w:history="1">
        <w:r w:rsidRPr="00342AAA">
          <w:rPr>
            <w:rStyle w:val="Hyperlink"/>
            <w:rFonts w:ascii="Arial" w:hAnsi="Arial" w:cs="Arial"/>
          </w:rPr>
          <w:t>Monetary and Financial Statistics (MFS) framework</w:t>
        </w:r>
      </w:hyperlink>
      <w:r w:rsidRPr="00342AAA">
        <w:rPr>
          <w:rStyle w:val="inqyif"/>
          <w:rFonts w:ascii="Arial" w:hAnsi="Arial" w:cs="Arial"/>
        </w:rPr>
        <w:t xml:space="preserve"> structurally combines the Central Bank Survey (CBS) and the ODCS to form the </w:t>
      </w:r>
      <w:r w:rsidRPr="00342AAA">
        <w:rPr>
          <w:rStyle w:val="Strong"/>
          <w:rFonts w:ascii="Arial" w:hAnsi="Arial" w:cs="Arial"/>
        </w:rPr>
        <w:t>Depository Corporations Survey (DCS)</w:t>
      </w:r>
      <w:r w:rsidRPr="00342AAA">
        <w:rPr>
          <w:rStyle w:val="inqyif"/>
          <w:rFonts w:ascii="Arial" w:hAnsi="Arial" w:cs="Arial"/>
        </w:rPr>
        <w:t xml:space="preserve">. The DCS serves as the primary tool for </w:t>
      </w:r>
      <w:proofErr w:type="spellStart"/>
      <w:r w:rsidRPr="00342AAA">
        <w:rPr>
          <w:rStyle w:val="inqyif"/>
          <w:rFonts w:ascii="Arial" w:hAnsi="Arial" w:cs="Arial"/>
        </w:rPr>
        <w:t>analyzing</w:t>
      </w:r>
      <w:proofErr w:type="spellEnd"/>
      <w:r w:rsidRPr="00342AAA">
        <w:rPr>
          <w:rStyle w:val="inqyif"/>
          <w:rFonts w:ascii="Arial" w:hAnsi="Arial" w:cs="Arial"/>
        </w:rPr>
        <w:t xml:space="preserve"> global broad money supply and net foreign assets.</w:t>
      </w:r>
      <w:r>
        <w:t xml:space="preserve"> </w:t>
      </w:r>
    </w:p>
    <w:p w14:paraId="58633569" w14:textId="203759FA" w:rsidR="00342AAA" w:rsidRPr="00342AAA" w:rsidRDefault="00342AAA" w:rsidP="00342AAA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342AAA">
        <w:rPr>
          <w:rFonts w:hAnsi="Symbol"/>
        </w:rPr>
        <w:t></w:t>
      </w:r>
      <w:r>
        <w:t xml:space="preserve">  </w:t>
      </w:r>
      <w:r w:rsidRPr="00342AAA">
        <w:rPr>
          <w:rStyle w:val="yadgie"/>
          <w:rFonts w:ascii="Arial" w:hAnsi="Arial" w:cs="Arial"/>
          <w:b/>
          <w:bCs/>
        </w:rPr>
        <w:t>Reporting</w:t>
      </w:r>
      <w:proofErr w:type="gramEnd"/>
      <w:r w:rsidRPr="00342AAA">
        <w:rPr>
          <w:rStyle w:val="yadgie"/>
          <w:rFonts w:ascii="Arial" w:hAnsi="Arial" w:cs="Arial"/>
          <w:b/>
          <w:bCs/>
        </w:rPr>
        <w:t xml:space="preserve"> Forms:</w:t>
      </w:r>
      <w:r w:rsidRPr="00342AAA">
        <w:rPr>
          <w:rStyle w:val="yadgie"/>
          <w:rFonts w:ascii="Arial" w:hAnsi="Arial" w:cs="Arial"/>
        </w:rPr>
        <w:t xml:space="preserve"> Countries officially report this data to the IMF using standardized reporting templates, specifically the </w:t>
      </w:r>
      <w:r w:rsidRPr="00342AAA">
        <w:rPr>
          <w:rStyle w:val="yadgie"/>
          <w:rFonts w:ascii="Arial" w:hAnsi="Arial" w:cs="Arial"/>
          <w:b/>
          <w:bCs/>
        </w:rPr>
        <w:t>SRF 2SR</w:t>
      </w:r>
      <w:r w:rsidRPr="00342AAA">
        <w:rPr>
          <w:rStyle w:val="yadgie"/>
          <w:rFonts w:ascii="Arial" w:hAnsi="Arial" w:cs="Arial"/>
        </w:rPr>
        <w:t xml:space="preserve"> (Standardized Report Form for Other Depository Corporations).</w:t>
      </w:r>
      <w:r>
        <w:t xml:space="preserve"> </w:t>
      </w:r>
    </w:p>
    <w:p w14:paraId="7E2A531B" w14:textId="77777777" w:rsidR="00342AAA" w:rsidRDefault="00342AAA" w:rsidP="00342AAA">
      <w:pPr>
        <w:rPr>
          <w:lang w:val="en-US"/>
        </w:rPr>
      </w:pPr>
    </w:p>
    <w:p w14:paraId="3DDA05D8" w14:textId="77777777" w:rsidR="00342AAA" w:rsidRPr="00342AAA" w:rsidRDefault="00342AAA" w:rsidP="00342AAA">
      <w:r w:rsidRPr="00342AAA">
        <w:t>The IMF uses an accounting identity to merge them:</w:t>
      </w:r>
      <w:r w:rsidRPr="00342AAA">
        <w:br/>
      </w:r>
      <w:proofErr w:type="gramStart"/>
      <w:r w:rsidRPr="00342AAA">
        <w:t>\(</w:t>
      </w:r>
      <w:proofErr w:type="gramEnd"/>
      <w:r w:rsidRPr="00342AAA">
        <w:t>\</w:t>
      </w:r>
      <w:proofErr w:type="gramStart"/>
      <w:r w:rsidRPr="00342AAA">
        <w:t>text{</w:t>
      </w:r>
      <w:proofErr w:type="gramEnd"/>
      <w:r w:rsidRPr="00342AAA">
        <w:t>Central\ Bank\ Survey\ (CBS</w:t>
      </w:r>
      <w:proofErr w:type="gramStart"/>
      <w:r w:rsidRPr="00342AAA">
        <w:t>)}+</w:t>
      </w:r>
      <w:proofErr w:type="gramEnd"/>
      <w:r w:rsidRPr="00342AAA">
        <w:t>\</w:t>
      </w:r>
      <w:proofErr w:type="gramStart"/>
      <w:r w:rsidRPr="00342AAA">
        <w:t>text{</w:t>
      </w:r>
      <w:proofErr w:type="gramEnd"/>
      <w:r w:rsidRPr="00342AAA">
        <w:t>Other\ Depository\ Corporations\ Survey\ (ODCS</w:t>
      </w:r>
      <w:proofErr w:type="gramStart"/>
      <w:r w:rsidRPr="00342AAA">
        <w:t>)}=</w:t>
      </w:r>
      <w:proofErr w:type="gramEnd"/>
      <w:r w:rsidRPr="00342AAA">
        <w:t>\</w:t>
      </w:r>
      <w:proofErr w:type="gramStart"/>
      <w:r w:rsidRPr="00342AAA">
        <w:t>text{</w:t>
      </w:r>
      <w:proofErr w:type="gramEnd"/>
      <w:r w:rsidRPr="00342AAA">
        <w:t>Depository\ Corporations\ Survey\ (DCS</w:t>
      </w:r>
      <w:proofErr w:type="gramStart"/>
      <w:r w:rsidRPr="00342AAA">
        <w:t>)}\</w:t>
      </w:r>
      <w:proofErr w:type="gramEnd"/>
      <w:r w:rsidRPr="00342AAA">
        <w:t>)</w:t>
      </w:r>
    </w:p>
    <w:p w14:paraId="701F0735" w14:textId="77777777" w:rsidR="00342AAA" w:rsidRPr="00342AAA" w:rsidRDefault="00342AAA" w:rsidP="00342AAA">
      <w:r w:rsidRPr="00342AAA">
        <w:t xml:space="preserve">During this consolidation, any </w:t>
      </w:r>
      <w:r w:rsidRPr="00342AAA">
        <w:rPr>
          <w:b/>
          <w:bCs/>
        </w:rPr>
        <w:t>inter-bank transactions</w:t>
      </w:r>
      <w:r w:rsidRPr="00342AAA">
        <w:t xml:space="preserve"> (like commercial banks keeping reserve deposits at the Central Bank) are cancelled out. This isolates the financial sector's net relationship with the </w:t>
      </w:r>
      <w:r w:rsidRPr="00342AAA">
        <w:rPr>
          <w:i/>
          <w:iCs/>
        </w:rPr>
        <w:t>outside</w:t>
      </w:r>
      <w:r w:rsidRPr="00342AAA">
        <w:t xml:space="preserve"> world: how much credit is going to the actual economy, and how much money citizens are holding. [</w:t>
      </w:r>
      <w:hyperlink r:id="rId6" w:history="1">
        <w:r w:rsidRPr="00342AAA">
          <w:rPr>
            <w:rStyle w:val="Hyperlink"/>
          </w:rPr>
          <w:t>1</w:t>
        </w:r>
      </w:hyperlink>
      <w:r w:rsidRPr="00342AAA">
        <w:t xml:space="preserve">, </w:t>
      </w:r>
      <w:hyperlink r:id="rId7" w:history="1">
        <w:r w:rsidRPr="00342AAA">
          <w:rPr>
            <w:rStyle w:val="Hyperlink"/>
          </w:rPr>
          <w:t>2</w:t>
        </w:r>
      </w:hyperlink>
      <w:r w:rsidRPr="00342AAA">
        <w:t>]</w:t>
      </w:r>
    </w:p>
    <w:p w14:paraId="716470FD" w14:textId="77777777" w:rsidR="00342AAA" w:rsidRPr="00342AAA" w:rsidRDefault="00342AAA" w:rsidP="00342AAA">
      <w:r w:rsidRPr="00342AAA">
        <w:pict w14:anchorId="0D7E3593">
          <v:rect id="_x0000_i1031" style="width:0;height:1.5pt" o:hralign="center" o:hrstd="t" o:hr="t" fillcolor="#a0a0a0" stroked="f"/>
        </w:pict>
      </w:r>
    </w:p>
    <w:p w14:paraId="354F9A1D" w14:textId="77777777" w:rsidR="00342AAA" w:rsidRPr="00342AAA" w:rsidRDefault="00342AAA" w:rsidP="00342AAA">
      <w:r w:rsidRPr="00342AAA">
        <w:rPr>
          <w:rFonts w:ascii="Segoe UI Emoji" w:hAnsi="Segoe UI Emoji" w:cs="Segoe UI Emoji"/>
        </w:rPr>
        <w:t>⚠️</w:t>
      </w:r>
      <w:r w:rsidRPr="00342AAA">
        <w:t xml:space="preserve"> A Small Correction on the RBI Data Source</w:t>
      </w:r>
    </w:p>
    <w:p w14:paraId="49D81C48" w14:textId="46E184C3" w:rsidR="00342AAA" w:rsidRPr="00342AAA" w:rsidRDefault="00342AAA" w:rsidP="00342AAA">
      <w:r>
        <w:t>The</w:t>
      </w:r>
      <w:r w:rsidRPr="00342AAA">
        <w:t xml:space="preserve"> specific report you mentioned—the </w:t>
      </w:r>
      <w:r w:rsidRPr="00342AAA">
        <w:rPr>
          <w:b/>
          <w:bCs/>
        </w:rPr>
        <w:t>RBI’s Economic Survey</w:t>
      </w:r>
      <w:r w:rsidRPr="00342AAA">
        <w:t xml:space="preserve"> (officially the Annual Report or the Government of India's Economic Survey)—is a broad, narrative macroeconomic policy document.</w:t>
      </w:r>
    </w:p>
    <w:p w14:paraId="02C1D685" w14:textId="6584CE57" w:rsidR="00342AAA" w:rsidRPr="00342AAA" w:rsidRDefault="00342AAA" w:rsidP="00342AAA">
      <w:r w:rsidRPr="00342AAA">
        <w:t xml:space="preserve">To build the DCS, the IMF does not use those high-level narrative surveys. Instead, it pulls raw, highly granular transactional data directly from the </w:t>
      </w:r>
      <w:r w:rsidRPr="00342AAA">
        <w:rPr>
          <w:b/>
          <w:bCs/>
        </w:rPr>
        <w:t>Reserve Bank of India (RBI)</w:t>
      </w:r>
      <w:r w:rsidRPr="00342AAA">
        <w:t xml:space="preserve"> balance sheets: </w:t>
      </w:r>
    </w:p>
    <w:p w14:paraId="614F500E" w14:textId="77777777" w:rsidR="00342AAA" w:rsidRPr="00342AAA" w:rsidRDefault="00342AAA" w:rsidP="00342AAA">
      <w:pPr>
        <w:numPr>
          <w:ilvl w:val="0"/>
          <w:numId w:val="4"/>
        </w:numPr>
      </w:pPr>
      <w:r w:rsidRPr="00342AAA">
        <w:rPr>
          <w:b/>
          <w:bCs/>
        </w:rPr>
        <w:t>For the Central Bank data:</w:t>
      </w:r>
      <w:r w:rsidRPr="00342AAA">
        <w:t xml:space="preserve"> It uses raw weekly/monthly balance sheet statements of the RBI.</w:t>
      </w:r>
    </w:p>
    <w:p w14:paraId="3ABF1B94" w14:textId="77777777" w:rsidR="00342AAA" w:rsidRPr="00342AAA" w:rsidRDefault="00342AAA" w:rsidP="00342AAA">
      <w:pPr>
        <w:numPr>
          <w:ilvl w:val="0"/>
          <w:numId w:val="4"/>
        </w:numPr>
      </w:pPr>
      <w:r w:rsidRPr="00342AAA">
        <w:rPr>
          <w:b/>
          <w:bCs/>
        </w:rPr>
        <w:t>For the ODC data:</w:t>
      </w:r>
      <w:r w:rsidRPr="00342AAA">
        <w:t xml:space="preserve"> It pulls commercial banking data via the RBI's specialized reporting forms (like Section 42 returns or the standardized forms sent to the IMF).</w:t>
      </w:r>
    </w:p>
    <w:p w14:paraId="5091DC39" w14:textId="77777777" w:rsidR="00342AAA" w:rsidRPr="00342AAA" w:rsidRDefault="00342AAA" w:rsidP="00342AAA">
      <w:r w:rsidRPr="00342AAA">
        <w:rPr>
          <w:rFonts w:ascii="Segoe UI Emoji" w:hAnsi="Segoe UI Emoji" w:cs="Segoe UI Emoji"/>
        </w:rPr>
        <w:t>💡</w:t>
      </w:r>
      <w:r w:rsidRPr="00342AAA">
        <w:t xml:space="preserve"> Why does the IMF do this?</w:t>
      </w:r>
    </w:p>
    <w:p w14:paraId="06BA6049" w14:textId="32ECD29F" w:rsidR="00342AAA" w:rsidRPr="00342AAA" w:rsidRDefault="00342AAA" w:rsidP="00342AAA">
      <w:r w:rsidRPr="00342AAA">
        <w:lastRenderedPageBreak/>
        <w:t xml:space="preserve">By standardizing this process globally, the IMF can instantly see the </w:t>
      </w:r>
      <w:r w:rsidRPr="00342AAA">
        <w:rPr>
          <w:b/>
          <w:bCs/>
        </w:rPr>
        <w:t>Broad Money Supply (M₃ or M₄ depending on national definitions)</w:t>
      </w:r>
      <w:r w:rsidRPr="00342AAA">
        <w:t xml:space="preserve"> of any country. It allows an economist to compare India's liquidity and domestic credit expansion directly with Brazil's, Japan's, or Germany's using the exact same metrics.</w:t>
      </w:r>
    </w:p>
    <w:p w14:paraId="4F11ED92" w14:textId="77777777" w:rsidR="00342AAA" w:rsidRDefault="00342AAA" w:rsidP="00342AAA">
      <w:pPr>
        <w:rPr>
          <w:lang w:val="en-US"/>
        </w:rPr>
      </w:pPr>
    </w:p>
    <w:p w14:paraId="0D3240FD" w14:textId="2117A518" w:rsidR="009D24E3" w:rsidRDefault="009D24E3" w:rsidP="00342AAA">
      <w:pPr>
        <w:rPr>
          <w:lang w:val="en-US"/>
        </w:rPr>
      </w:pPr>
      <w:r>
        <w:rPr>
          <w:lang w:val="en-US"/>
        </w:rPr>
        <w:t xml:space="preserve">Focus area of the project – </w:t>
      </w:r>
    </w:p>
    <w:p w14:paraId="69BA7245" w14:textId="6CDC09ED" w:rsidR="009D24E3" w:rsidRDefault="009D24E3" w:rsidP="00342AAA">
      <w:pPr>
        <w:rPr>
          <w:lang w:val="en-US"/>
        </w:rPr>
      </w:pPr>
      <w:r>
        <w:rPr>
          <w:lang w:val="en-US"/>
        </w:rPr>
        <w:t>India’s Banking sector: A Monetary and Financial Data Analysis</w:t>
      </w:r>
    </w:p>
    <w:p w14:paraId="4F8D99C1" w14:textId="61806FB4" w:rsidR="009D24E3" w:rsidRDefault="005D792E" w:rsidP="00342AAA">
      <w:pPr>
        <w:rPr>
          <w:lang w:val="en-US"/>
        </w:rPr>
      </w:pPr>
      <w:r>
        <w:rPr>
          <w:lang w:val="en-US"/>
        </w:rPr>
        <w:t>Questions related to that:</w:t>
      </w:r>
    </w:p>
    <w:p w14:paraId="13AC2B78" w14:textId="0127A7D1" w:rsidR="005D792E" w:rsidRDefault="005D792E" w:rsidP="005D79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Where are the Indian banks allocating their assets?</w:t>
      </w:r>
    </w:p>
    <w:p w14:paraId="4A003432" w14:textId="43EBA50A" w:rsidR="005D792E" w:rsidRDefault="005D792E" w:rsidP="005D79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is the banking sector funded?</w:t>
      </w:r>
    </w:p>
    <w:p w14:paraId="7569F7C5" w14:textId="7FAC490B" w:rsidR="005D792E" w:rsidRDefault="005D792E" w:rsidP="005D79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connected is India’s banking sector to the global financial system?</w:t>
      </w:r>
    </w:p>
    <w:p w14:paraId="041B0AEF" w14:textId="781F1BFC" w:rsidR="005D792E" w:rsidRDefault="005D792E" w:rsidP="005D79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relationship between banks and the government?</w:t>
      </w:r>
    </w:p>
    <w:p w14:paraId="72FE74E0" w14:textId="77777777" w:rsidR="005D792E" w:rsidRPr="005D792E" w:rsidRDefault="005D792E" w:rsidP="005D792E">
      <w:pPr>
        <w:ind w:left="360"/>
        <w:rPr>
          <w:lang w:val="en-US"/>
        </w:rPr>
      </w:pPr>
    </w:p>
    <w:sectPr w:rsidR="005D792E" w:rsidRPr="005D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A0E"/>
    <w:multiLevelType w:val="multilevel"/>
    <w:tmpl w:val="BA3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779B2"/>
    <w:multiLevelType w:val="multilevel"/>
    <w:tmpl w:val="CDB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035DA"/>
    <w:multiLevelType w:val="multilevel"/>
    <w:tmpl w:val="7506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D0CBF"/>
    <w:multiLevelType w:val="hybridMultilevel"/>
    <w:tmpl w:val="25F6998C"/>
    <w:lvl w:ilvl="0" w:tplc="59FEB9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304639">
    <w:abstractNumId w:val="3"/>
  </w:num>
  <w:num w:numId="2" w16cid:durableId="1272199299">
    <w:abstractNumId w:val="2"/>
  </w:num>
  <w:num w:numId="3" w16cid:durableId="1638291690">
    <w:abstractNumId w:val="1"/>
  </w:num>
  <w:num w:numId="4" w16cid:durableId="68763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D6"/>
    <w:rsid w:val="002C07E7"/>
    <w:rsid w:val="00342AAA"/>
    <w:rsid w:val="005D792E"/>
    <w:rsid w:val="00704EA3"/>
    <w:rsid w:val="008B55D6"/>
    <w:rsid w:val="009D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5277"/>
  <w15:chartTrackingRefBased/>
  <w15:docId w15:val="{2382D38E-F18C-47C6-9A33-E669AA92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5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A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AAA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342AAA"/>
  </w:style>
  <w:style w:type="character" w:styleId="Strong">
    <w:name w:val="Strong"/>
    <w:basedOn w:val="DefaultParagraphFont"/>
    <w:uiPriority w:val="22"/>
    <w:qFormat/>
    <w:rsid w:val="00342AAA"/>
    <w:rPr>
      <w:b/>
      <w:bCs/>
    </w:rPr>
  </w:style>
  <w:style w:type="character" w:customStyle="1" w:styleId="yadgie">
    <w:name w:val="yadgie"/>
    <w:basedOn w:val="DefaultParagraphFont"/>
    <w:rsid w:val="00342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library.imf.org/display/book/9781513579191/ch07.xml?lang=en&amp;language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EF2j40p2TY&amp;t=52" TargetMode="External"/><Relationship Id="rId5" Type="http://schemas.openxmlformats.org/officeDocument/2006/relationships/hyperlink" Target="https://data.imf.org/en/datasets/IMF.STA:MFS_OD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PRASANTA KUMAR MODAK</dc:creator>
  <cp:keywords/>
  <dc:description/>
  <cp:lastModifiedBy>PRASANTA KUMAR MODAK</cp:lastModifiedBy>
  <cp:revision>1</cp:revision>
  <dcterms:created xsi:type="dcterms:W3CDTF">2026-09-01T05:47:00Z</dcterms:created>
  <dcterms:modified xsi:type="dcterms:W3CDTF">2026-09-01T07:42:00Z</dcterms:modified>
</cp:coreProperties>
</file>