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9v7jpz5926w" w:id="0"/>
      <w:bookmarkEnd w:id="0"/>
      <w:r w:rsidDel="00000000" w:rsidR="00000000" w:rsidRPr="00000000">
        <w:rPr>
          <w:b w:val="1"/>
          <w:color w:val="000000"/>
          <w:sz w:val="26"/>
          <w:szCs w:val="26"/>
          <w:rtl w:val="0"/>
        </w:rPr>
        <w:t xml:space="preserve">Azure Queue Storage </w:t>
      </w:r>
    </w:p>
    <w:p w:rsidR="00000000" w:rsidDel="00000000" w:rsidP="00000000" w:rsidRDefault="00000000" w:rsidRPr="00000000" w14:paraId="00000002">
      <w:pPr>
        <w:spacing w:after="240" w:before="240" w:lineRule="auto"/>
        <w:rPr/>
      </w:pPr>
      <w:r w:rsidDel="00000000" w:rsidR="00000000" w:rsidRPr="00000000">
        <w:rPr>
          <w:rtl w:val="0"/>
        </w:rPr>
        <w:t xml:space="preserve">Azure Queue Storage is a simple message queuing service provided as part of Azure Storage. It enables asynchronous message communication between application components, allowing you to enqueue messages and have them processed later. This service supports large numbers of lightweight messages (up to 64 KB each), and it's designed for basic scenarios where you want to decouple application components but don’t need complex message handling logic. Messages are stored reliably and can be retained for up to 7 days. The model is straightforward: producers write messages to the queue, and consumers pull and process them.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80cf6gsjiln" w:id="1"/>
      <w:bookmarkEnd w:id="1"/>
      <w:r w:rsidDel="00000000" w:rsidR="00000000" w:rsidRPr="00000000">
        <w:rPr>
          <w:b w:val="1"/>
          <w:color w:val="000000"/>
          <w:sz w:val="26"/>
          <w:szCs w:val="26"/>
          <w:rtl w:val="0"/>
        </w:rPr>
        <w:t xml:space="preserve"> Azure Service Bus </w:t>
      </w:r>
    </w:p>
    <w:p w:rsidR="00000000" w:rsidDel="00000000" w:rsidP="00000000" w:rsidRDefault="00000000" w:rsidRPr="00000000" w14:paraId="00000005">
      <w:pPr>
        <w:spacing w:after="240" w:before="240" w:lineRule="auto"/>
        <w:rPr/>
      </w:pPr>
      <w:r w:rsidDel="00000000" w:rsidR="00000000" w:rsidRPr="00000000">
        <w:rPr>
          <w:rtl w:val="0"/>
        </w:rPr>
        <w:t xml:space="preserve">Azure Service Bus is a more advanced messaging platform designed for enterprise applications that require rich messaging features. It supports both point-to-point communication via </w:t>
      </w:r>
      <w:r w:rsidDel="00000000" w:rsidR="00000000" w:rsidRPr="00000000">
        <w:rPr>
          <w:b w:val="1"/>
          <w:rtl w:val="0"/>
        </w:rPr>
        <w:t xml:space="preserve">queues</w:t>
      </w:r>
      <w:r w:rsidDel="00000000" w:rsidR="00000000" w:rsidRPr="00000000">
        <w:rPr>
          <w:rtl w:val="0"/>
        </w:rPr>
        <w:t xml:space="preserve"> and publish-subscribe scenarios via </w:t>
      </w:r>
      <w:r w:rsidDel="00000000" w:rsidR="00000000" w:rsidRPr="00000000">
        <w:rPr>
          <w:b w:val="1"/>
          <w:rtl w:val="0"/>
        </w:rPr>
        <w:t xml:space="preserve">topics and subscriptions</w:t>
      </w:r>
      <w:r w:rsidDel="00000000" w:rsidR="00000000" w:rsidRPr="00000000">
        <w:rPr>
          <w:rtl w:val="0"/>
        </w:rPr>
        <w:t xml:space="preserve">. Unlike Azure Queue Storage, Service Bus provides features like </w:t>
      </w:r>
      <w:r w:rsidDel="00000000" w:rsidR="00000000" w:rsidRPr="00000000">
        <w:rPr>
          <w:b w:val="1"/>
          <w:rtl w:val="0"/>
        </w:rPr>
        <w:t xml:space="preserve">message sessions for FIFO</w:t>
      </w:r>
      <w:r w:rsidDel="00000000" w:rsidR="00000000" w:rsidRPr="00000000">
        <w:rPr>
          <w:rtl w:val="0"/>
        </w:rPr>
        <w:t xml:space="preserve">, </w:t>
      </w:r>
      <w:r w:rsidDel="00000000" w:rsidR="00000000" w:rsidRPr="00000000">
        <w:rPr>
          <w:b w:val="1"/>
          <w:rtl w:val="0"/>
        </w:rPr>
        <w:t xml:space="preserve">dead-lettering</w:t>
      </w:r>
      <w:r w:rsidDel="00000000" w:rsidR="00000000" w:rsidRPr="00000000">
        <w:rPr>
          <w:rtl w:val="0"/>
        </w:rPr>
        <w:t xml:space="preserve">, </w:t>
      </w:r>
      <w:r w:rsidDel="00000000" w:rsidR="00000000" w:rsidRPr="00000000">
        <w:rPr>
          <w:b w:val="1"/>
          <w:rtl w:val="0"/>
        </w:rPr>
        <w:t xml:space="preserve">message filtering</w:t>
      </w:r>
      <w:r w:rsidDel="00000000" w:rsidR="00000000" w:rsidRPr="00000000">
        <w:rPr>
          <w:rtl w:val="0"/>
        </w:rPr>
        <w:t xml:space="preserve">, </w:t>
      </w:r>
      <w:r w:rsidDel="00000000" w:rsidR="00000000" w:rsidRPr="00000000">
        <w:rPr>
          <w:b w:val="1"/>
          <w:rtl w:val="0"/>
        </w:rPr>
        <w:t xml:space="preserve">duplicate detection</w:t>
      </w:r>
      <w:r w:rsidDel="00000000" w:rsidR="00000000" w:rsidRPr="00000000">
        <w:rPr>
          <w:rtl w:val="0"/>
        </w:rPr>
        <w:t xml:space="preserve">, </w:t>
      </w:r>
      <w:r w:rsidDel="00000000" w:rsidR="00000000" w:rsidRPr="00000000">
        <w:rPr>
          <w:b w:val="1"/>
          <w:rtl w:val="0"/>
        </w:rPr>
        <w:t xml:space="preserve">scheduled delivery</w:t>
      </w:r>
      <w:r w:rsidDel="00000000" w:rsidR="00000000" w:rsidRPr="00000000">
        <w:rPr>
          <w:rtl w:val="0"/>
        </w:rPr>
        <w:t xml:space="preserve">, and </w:t>
      </w:r>
      <w:r w:rsidDel="00000000" w:rsidR="00000000" w:rsidRPr="00000000">
        <w:rPr>
          <w:b w:val="1"/>
          <w:rtl w:val="0"/>
        </w:rPr>
        <w:t xml:space="preserve">transactions</w:t>
      </w:r>
      <w:r w:rsidDel="00000000" w:rsidR="00000000" w:rsidRPr="00000000">
        <w:rPr>
          <w:rtl w:val="0"/>
        </w:rPr>
        <w:t xml:space="preserve">. It supports larger message sizes (up to 256 KB in Standard tier, and 1 MB in Premium). Service Bus is ideal for scenarios where message reliability, ordering, and multiple consumers are required.</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u1w0owkvysm" w:id="2"/>
      <w:bookmarkEnd w:id="2"/>
      <w:r w:rsidDel="00000000" w:rsidR="00000000" w:rsidRPr="00000000">
        <w:rPr>
          <w:b w:val="1"/>
          <w:color w:val="000000"/>
          <w:sz w:val="26"/>
          <w:szCs w:val="26"/>
          <w:rtl w:val="0"/>
        </w:rPr>
        <w:t xml:space="preserve">When to Use Azure Queue Storage</w:t>
      </w:r>
    </w:p>
    <w:p w:rsidR="00000000" w:rsidDel="00000000" w:rsidP="00000000" w:rsidRDefault="00000000" w:rsidRPr="00000000" w14:paraId="00000008">
      <w:pPr>
        <w:spacing w:after="240" w:before="240" w:lineRule="auto"/>
        <w:rPr/>
      </w:pPr>
      <w:r w:rsidDel="00000000" w:rsidR="00000000" w:rsidRPr="00000000">
        <w:rPr>
          <w:rtl w:val="0"/>
        </w:rPr>
        <w:t xml:space="preserve">Use Azure Queue Storage when you need a </w:t>
      </w:r>
      <w:r w:rsidDel="00000000" w:rsidR="00000000" w:rsidRPr="00000000">
        <w:rPr>
          <w:b w:val="1"/>
          <w:rtl w:val="0"/>
        </w:rPr>
        <w:t xml:space="preserve">simple queueing mechanism</w:t>
      </w:r>
      <w:r w:rsidDel="00000000" w:rsidR="00000000" w:rsidRPr="00000000">
        <w:rPr>
          <w:rtl w:val="0"/>
        </w:rPr>
        <w:t xml:space="preserve"> with minimal overhead. It's ideal for lightweight messaging tasks like offloading background jobs from a web application, simple task processing, or creating buffer zones between components. For example, if you're building a website where users upload images, you can queue each image processing job and have a background service pull and process them asynchronously. It’s also suitable for scenarios where </w:t>
      </w:r>
      <w:r w:rsidDel="00000000" w:rsidR="00000000" w:rsidRPr="00000000">
        <w:rPr>
          <w:b w:val="1"/>
          <w:rtl w:val="0"/>
        </w:rPr>
        <w:t xml:space="preserve">cost is a major concern</w:t>
      </w:r>
      <w:r w:rsidDel="00000000" w:rsidR="00000000" w:rsidRPr="00000000">
        <w:rPr>
          <w:rtl w:val="0"/>
        </w:rPr>
        <w:t xml:space="preserve">, and you don’t need complex features like message ordering or retries.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t9mxlqk1m935" w:id="3"/>
      <w:bookmarkEnd w:id="3"/>
      <w:r w:rsidDel="00000000" w:rsidR="00000000" w:rsidRPr="00000000">
        <w:rPr>
          <w:b w:val="1"/>
          <w:color w:val="000000"/>
          <w:sz w:val="26"/>
          <w:szCs w:val="26"/>
          <w:rtl w:val="0"/>
        </w:rPr>
        <w:t xml:space="preserve"> When to Use Azure Service Bus</w:t>
      </w:r>
    </w:p>
    <w:p w:rsidR="00000000" w:rsidDel="00000000" w:rsidP="00000000" w:rsidRDefault="00000000" w:rsidRPr="00000000" w14:paraId="0000000B">
      <w:pPr>
        <w:spacing w:after="240" w:before="240" w:lineRule="auto"/>
        <w:rPr/>
      </w:pPr>
      <w:r w:rsidDel="00000000" w:rsidR="00000000" w:rsidRPr="00000000">
        <w:rPr>
          <w:rtl w:val="0"/>
        </w:rPr>
        <w:t xml:space="preserve">Choose Azure Service Bus when your application requires </w:t>
      </w:r>
      <w:r w:rsidDel="00000000" w:rsidR="00000000" w:rsidRPr="00000000">
        <w:rPr>
          <w:b w:val="1"/>
          <w:rtl w:val="0"/>
        </w:rPr>
        <w:t xml:space="preserve">reliable messaging</w:t>
      </w:r>
      <w:r w:rsidDel="00000000" w:rsidR="00000000" w:rsidRPr="00000000">
        <w:rPr>
          <w:rtl w:val="0"/>
        </w:rPr>
        <w:t xml:space="preserve">, </w:t>
      </w:r>
      <w:r w:rsidDel="00000000" w:rsidR="00000000" w:rsidRPr="00000000">
        <w:rPr>
          <w:b w:val="1"/>
          <w:rtl w:val="0"/>
        </w:rPr>
        <w:t xml:space="preserve">advanced delivery guarantees</w:t>
      </w:r>
      <w:r w:rsidDel="00000000" w:rsidR="00000000" w:rsidRPr="00000000">
        <w:rPr>
          <w:rtl w:val="0"/>
        </w:rPr>
        <w:t xml:space="preserve">, or </w:t>
      </w:r>
      <w:r w:rsidDel="00000000" w:rsidR="00000000" w:rsidRPr="00000000">
        <w:rPr>
          <w:b w:val="1"/>
          <w:rtl w:val="0"/>
        </w:rPr>
        <w:t xml:space="preserve">enterprise integration</w:t>
      </w:r>
      <w:r w:rsidDel="00000000" w:rsidR="00000000" w:rsidRPr="00000000">
        <w:rPr>
          <w:rtl w:val="0"/>
        </w:rPr>
        <w:t xml:space="preserve">. It’s the right choice when you need </w:t>
      </w:r>
      <w:r w:rsidDel="00000000" w:rsidR="00000000" w:rsidRPr="00000000">
        <w:rPr>
          <w:b w:val="1"/>
          <w:rtl w:val="0"/>
        </w:rPr>
        <w:t xml:space="preserve">FIFO</w:t>
      </w:r>
      <w:r w:rsidDel="00000000" w:rsidR="00000000" w:rsidRPr="00000000">
        <w:rPr>
          <w:rtl w:val="0"/>
        </w:rPr>
        <w:t xml:space="preserve">, </w:t>
      </w:r>
      <w:r w:rsidDel="00000000" w:rsidR="00000000" w:rsidRPr="00000000">
        <w:rPr>
          <w:b w:val="1"/>
          <w:rtl w:val="0"/>
        </w:rPr>
        <w:t xml:space="preserve">session-based message processing</w:t>
      </w:r>
      <w:r w:rsidDel="00000000" w:rsidR="00000000" w:rsidRPr="00000000">
        <w:rPr>
          <w:rtl w:val="0"/>
        </w:rPr>
        <w:t xml:space="preserve">, or when </w:t>
      </w:r>
      <w:r w:rsidDel="00000000" w:rsidR="00000000" w:rsidRPr="00000000">
        <w:rPr>
          <w:b w:val="1"/>
          <w:rtl w:val="0"/>
        </w:rPr>
        <w:t xml:space="preserve">multiple consumers</w:t>
      </w:r>
      <w:r w:rsidDel="00000000" w:rsidR="00000000" w:rsidRPr="00000000">
        <w:rPr>
          <w:rtl w:val="0"/>
        </w:rPr>
        <w:t xml:space="preserve"> must receive and process the same message independently (via Topics). Use it in distributed applications where coordination between multiple systems or services is needed—like in </w:t>
      </w:r>
      <w:r w:rsidDel="00000000" w:rsidR="00000000" w:rsidRPr="00000000">
        <w:rPr>
          <w:b w:val="1"/>
          <w:rtl w:val="0"/>
        </w:rPr>
        <w:t xml:space="preserve">event-driven microservices</w:t>
      </w:r>
      <w:r w:rsidDel="00000000" w:rsidR="00000000" w:rsidRPr="00000000">
        <w:rPr>
          <w:rtl w:val="0"/>
        </w:rPr>
        <w:t xml:space="preserve">, </w:t>
      </w:r>
      <w:r w:rsidDel="00000000" w:rsidR="00000000" w:rsidRPr="00000000">
        <w:rPr>
          <w:b w:val="1"/>
          <w:rtl w:val="0"/>
        </w:rPr>
        <w:t xml:space="preserve">payment processing workflows</w:t>
      </w:r>
      <w:r w:rsidDel="00000000" w:rsidR="00000000" w:rsidRPr="00000000">
        <w:rPr>
          <w:rtl w:val="0"/>
        </w:rPr>
        <w:t xml:space="preserve">, or </w:t>
      </w:r>
      <w:r w:rsidDel="00000000" w:rsidR="00000000" w:rsidRPr="00000000">
        <w:rPr>
          <w:b w:val="1"/>
          <w:rtl w:val="0"/>
        </w:rPr>
        <w:t xml:space="preserve">order processing systems</w:t>
      </w:r>
      <w:r w:rsidDel="00000000" w:rsidR="00000000" w:rsidRPr="00000000">
        <w:rPr>
          <w:rtl w:val="0"/>
        </w:rPr>
        <w:t xml:space="preserve">. It’s especially useful for critical business processes where </w:t>
      </w:r>
      <w:r w:rsidDel="00000000" w:rsidR="00000000" w:rsidRPr="00000000">
        <w:rPr>
          <w:b w:val="1"/>
          <w:rtl w:val="0"/>
        </w:rPr>
        <w:t xml:space="preserve">message loss or duplication is unacceptable</w:t>
      </w:r>
      <w:r w:rsidDel="00000000" w:rsidR="00000000" w:rsidRPr="00000000">
        <w:rPr>
          <w:rtl w:val="0"/>
        </w:rPr>
        <w:t xml:space="preserve">.</w:t>
      </w:r>
    </w:p>
    <w:p w:rsidR="00000000" w:rsidDel="00000000" w:rsidP="00000000" w:rsidRDefault="00000000" w:rsidRPr="00000000" w14:paraId="0000000C">
      <w:pPr>
        <w:spacing w:after="240" w:before="240" w:lineRule="auto"/>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Azure Queue Storage Use Cases:</w:t>
      </w:r>
      <w:r w:rsidDel="00000000" w:rsidR="00000000" w:rsidRPr="00000000">
        <w:rPr>
          <w:sz w:val="26"/>
          <w:szCs w:val="26"/>
          <w:rtl w:val="0"/>
        </w:rPr>
        <w:br w:type="textWrapping"/>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Background job offloading (e.g., image or video processing)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Decoupling UI from backend processes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Buffering tasks for rate-limited APIs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Simple retry logic in serverless apps (Azure Functions)</w:t>
        <w:br w:type="textWrapp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sz w:val="26"/>
          <w:szCs w:val="26"/>
          <w:rtl w:val="0"/>
        </w:rPr>
        <w:t xml:space="preserve">Azure Service Bus Use Cases:</w:t>
      </w:r>
      <w:r w:rsidDel="00000000" w:rsidR="00000000" w:rsidRPr="00000000">
        <w:rPr>
          <w:b w:val="1"/>
          <w:rtl w:val="0"/>
        </w:rPr>
        <w:br w:type="textWrapping"/>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Enterprise applications requiring high reliability</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Microservice architectures using event-driven communication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Order or command processing systems with message ordering</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Multiple consumer systems needing pub-sub messaging</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Systems needing dead-letter queues and retry handling</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pPr w:leftFromText="180" w:rightFromText="180" w:topFromText="180" w:bottomFromText="180" w:vertAnchor="text" w:horzAnchor="text" w:tblpX="-105" w:tblpY="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823501295565"/>
        <w:gridCol w:w="2455.823501295565"/>
        <w:gridCol w:w="4113.864808432492"/>
        <w:tblGridChange w:id="0">
          <w:tblGrid>
            <w:gridCol w:w="2455.823501295565"/>
            <w:gridCol w:w="2455.823501295565"/>
            <w:gridCol w:w="4113.86480843249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jc w:val="center"/>
              <w:rPr/>
            </w:pPr>
            <w:r w:rsidDel="00000000" w:rsidR="00000000" w:rsidRPr="00000000">
              <w:rPr>
                <w:b w:val="1"/>
                <w:rtl w:val="0"/>
              </w:rPr>
              <w:t xml:space="preserve">Azure Queue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jc w:val="center"/>
              <w:rPr/>
            </w:pPr>
            <w:r w:rsidDel="00000000" w:rsidR="00000000" w:rsidRPr="00000000">
              <w:rPr>
                <w:b w:val="1"/>
                <w:rtl w:val="0"/>
              </w:rPr>
              <w:t xml:space="preserve">Azure Service Bus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pPr>
            <w:r w:rsidDel="00000000" w:rsidR="00000000" w:rsidRPr="00000000">
              <w:rPr>
                <w:b w:val="1"/>
                <w:rtl w:val="0"/>
              </w:rPr>
              <w:t xml:space="preserve">Message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pPr>
            <w:r w:rsidDel="00000000" w:rsidR="00000000" w:rsidRPr="00000000">
              <w:rPr>
                <w:rtl w:val="0"/>
              </w:rPr>
              <w:t xml:space="preserve">Up to 64 KB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rPr/>
            </w:pPr>
            <w:r w:rsidDel="00000000" w:rsidR="00000000" w:rsidRPr="00000000">
              <w:rPr>
                <w:rtl w:val="0"/>
              </w:rPr>
              <w:t xml:space="preserve">Up to 256 KB (Standard), 1 MB (Premium)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pPr>
            <w:r w:rsidDel="00000000" w:rsidR="00000000" w:rsidRPr="00000000">
              <w:rPr>
                <w:b w:val="1"/>
                <w:rtl w:val="0"/>
              </w:rPr>
              <w:t xml:space="preserve">Messaging Pattern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pPr>
            <w:r w:rsidDel="00000000" w:rsidR="00000000" w:rsidRPr="00000000">
              <w:rPr>
                <w:rtl w:val="0"/>
              </w:rPr>
              <w:t xml:space="preserve">Point-to-point (Queue only)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rPr/>
            </w:pPr>
            <w:r w:rsidDel="00000000" w:rsidR="00000000" w:rsidRPr="00000000">
              <w:rPr>
                <w:rtl w:val="0"/>
              </w:rPr>
              <w:t xml:space="preserve">Point-to-point (Queues) + Publish-Subscribe (Topics &amp; Subscriptions)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pPr>
            <w:r w:rsidDel="00000000" w:rsidR="00000000" w:rsidRPr="00000000">
              <w:rPr>
                <w:b w:val="1"/>
                <w:rtl w:val="0"/>
              </w:rPr>
              <w:t xml:space="preserve">Message Ordering (FIFO)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pPr>
            <w:r w:rsidDel="00000000" w:rsidR="00000000" w:rsidRPr="00000000">
              <w:rPr>
                <w:rtl w:val="0"/>
              </w:rPr>
              <w:t xml:space="preserve">Basic FIFO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rPr/>
            </w:pPr>
            <w:r w:rsidDel="00000000" w:rsidR="00000000" w:rsidRPr="00000000">
              <w:rPr>
                <w:rtl w:val="0"/>
              </w:rPr>
              <w:t xml:space="preserve">Guaranteed FIFO with Sessions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rPr/>
            </w:pPr>
            <w:r w:rsidDel="00000000" w:rsidR="00000000" w:rsidRPr="00000000">
              <w:rPr>
                <w:b w:val="1"/>
                <w:rtl w:val="0"/>
              </w:rPr>
              <w:t xml:space="preserve">Duplicate Detection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pPr>
            <w:r w:rsidDel="00000000" w:rsidR="00000000" w:rsidRPr="00000000">
              <w:rPr>
                <w:rtl w:val="0"/>
              </w:rPr>
              <w:t xml:space="preserve">Yes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rPr/>
            </w:pPr>
            <w:r w:rsidDel="00000000" w:rsidR="00000000" w:rsidRPr="00000000">
              <w:rPr>
                <w:b w:val="1"/>
                <w:rtl w:val="0"/>
              </w:rPr>
              <w:t xml:space="preserve">Dead-letter Queue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rPr/>
            </w:pPr>
            <w:r w:rsidDel="00000000" w:rsidR="00000000" w:rsidRPr="00000000">
              <w:rPr>
                <w:rtl w:val="0"/>
              </w:rPr>
              <w:t xml:space="preserve">Yes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pPr>
            <w:r w:rsidDel="00000000" w:rsidR="00000000" w:rsidRPr="00000000">
              <w:rPr>
                <w:b w:val="1"/>
                <w:rtl w:val="0"/>
              </w:rPr>
              <w:t xml:space="preserve">Scheduled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pPr>
            <w:r w:rsidDel="00000000" w:rsidR="00000000" w:rsidRPr="00000000">
              <w:rPr>
                <w:rtl w:val="0"/>
              </w:rPr>
              <w:t xml:space="preserve">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pPr>
            <w:r w:rsidDel="00000000" w:rsidR="00000000" w:rsidRPr="00000000">
              <w:rPr>
                <w:b w:val="1"/>
                <w:rtl w:val="0"/>
              </w:rPr>
              <w:t xml:space="preserve">Transactions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pPr>
            <w:r w:rsidDel="00000000" w:rsidR="00000000" w:rsidRPr="00000000">
              <w:rPr>
                <w:rtl w:val="0"/>
              </w:rPr>
              <w:t xml:space="preserve">Limited (basic batching)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pPr>
            <w:r w:rsidDel="00000000" w:rsidR="00000000" w:rsidRPr="00000000">
              <w:rPr>
                <w:rtl w:val="0"/>
              </w:rPr>
              <w:t xml:space="preserve">Full transactional support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pPr>
            <w:r w:rsidDel="00000000" w:rsidR="00000000" w:rsidRPr="00000000">
              <w:rPr>
                <w:b w:val="1"/>
                <w:rtl w:val="0"/>
              </w:rPr>
              <w:t xml:space="preserve">Message TTL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pPr>
            <w:r w:rsidDel="00000000" w:rsidR="00000000" w:rsidRPr="00000000">
              <w:rPr>
                <w:rtl w:val="0"/>
              </w:rPr>
              <w:t xml:space="preserve">Up to 7 days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pPr>
            <w:r w:rsidDel="00000000" w:rsidR="00000000" w:rsidRPr="00000000">
              <w:rPr>
                <w:rtl w:val="0"/>
              </w:rPr>
              <w:t xml:space="preserve">Configurable, potentially unlimited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pPr>
            <w:r w:rsidDel="00000000" w:rsidR="00000000" w:rsidRPr="00000000">
              <w:rPr>
                <w:b w:val="1"/>
                <w:rtl w:val="0"/>
              </w:rPr>
              <w:t xml:space="preserve">Delivery Guarantees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pPr>
            <w:r w:rsidDel="00000000" w:rsidR="00000000" w:rsidRPr="00000000">
              <w:rPr>
                <w:rtl w:val="0"/>
              </w:rPr>
              <w:t xml:space="preserve">At-least-once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pPr>
            <w:r w:rsidDel="00000000" w:rsidR="00000000" w:rsidRPr="00000000">
              <w:rPr>
                <w:rtl w:val="0"/>
              </w:rPr>
              <w:t xml:space="preserve">At-least-once, supports exactly-once processing (Premium)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pPr>
            <w:r w:rsidDel="00000000" w:rsidR="00000000" w:rsidRPr="00000000">
              <w:rPr>
                <w:b w:val="1"/>
                <w:rtl w:val="0"/>
              </w:rPr>
              <w:t xml:space="preserve">Scaling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pPr>
            <w:r w:rsidDel="00000000" w:rsidR="00000000" w:rsidRPr="00000000">
              <w:rPr>
                <w:rtl w:val="0"/>
              </w:rPr>
              <w:t xml:space="preserve">Highly scalable, simple scaling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pPr>
            <w:r w:rsidDel="00000000" w:rsidR="00000000" w:rsidRPr="00000000">
              <w:rPr>
                <w:rtl w:val="0"/>
              </w:rPr>
              <w:t xml:space="preserve">Scalable but with more management overhead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pPr>
            <w:r w:rsidDel="00000000" w:rsidR="00000000" w:rsidRPr="00000000">
              <w:rPr>
                <w:b w:val="1"/>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pPr>
            <w:r w:rsidDel="00000000" w:rsidR="00000000" w:rsidRPr="00000000">
              <w:rPr>
                <w:rtl w:val="0"/>
              </w:rPr>
              <w:t xml:space="preserve">Simple to implement and manage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pPr>
            <w:r w:rsidDel="00000000" w:rsidR="00000000" w:rsidRPr="00000000">
              <w:rPr>
                <w:rtl w:val="0"/>
              </w:rPr>
              <w:t xml:space="preserve">More complex due to advanced features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pPr>
            <w:r w:rsidDel="00000000" w:rsidR="00000000" w:rsidRPr="00000000">
              <w:rPr>
                <w:b w:val="1"/>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pPr>
            <w:r w:rsidDel="00000000" w:rsidR="00000000" w:rsidRPr="00000000">
              <w:rPr>
                <w:rtl w:val="0"/>
              </w:rPr>
              <w:t xml:space="preserve">Lower cost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pPr>
            <w:r w:rsidDel="00000000" w:rsidR="00000000" w:rsidRPr="00000000">
              <w:rPr>
                <w:rtl w:val="0"/>
              </w:rPr>
              <w:t xml:space="preserve">Higher cost (especially Premium tier)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pPr>
            <w:r w:rsidDel="00000000" w:rsidR="00000000" w:rsidRPr="00000000">
              <w:rPr>
                <w:b w:val="1"/>
                <w:rtl w:val="0"/>
              </w:rPr>
              <w:t xml:space="preserve">Use Case 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pPr>
            <w:r w:rsidDel="00000000" w:rsidR="00000000" w:rsidRPr="00000000">
              <w:rPr>
                <w:rtl w:val="0"/>
              </w:rPr>
              <w:t xml:space="preserve">Background jobs, simple decoupling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pPr>
            <w:r w:rsidDel="00000000" w:rsidR="00000000" w:rsidRPr="00000000">
              <w:rPr>
                <w:rtl w:val="0"/>
              </w:rPr>
              <w:t xml:space="preserve">Enterprise apps, microservices, pub/sub, workflows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pPr>
            <w:r w:rsidDel="00000000" w:rsidR="00000000" w:rsidRPr="00000000">
              <w:rPr>
                <w:b w:val="1"/>
                <w:rtl w:val="0"/>
              </w:rPr>
              <w:t xml:space="preserve">Support for Multiple Consumers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pPr>
            <w:r w:rsidDel="00000000" w:rsidR="00000000" w:rsidRPr="00000000">
              <w:rPr>
                <w:rtl w:val="0"/>
              </w:rPr>
              <w:t xml:space="preserve">Yes (via Topics and Subscriptions)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