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E5AAC"/>
          <w:sz w:val="22"/>
          <w:szCs w:val="22"/>
        </w:rPr>
        <w:t xml:space="preserve">SYSTEM ARCHITECTURE</w:t>
      </w:r>
    </w:p>
    <w:p>
      <w:pPr>
        <w:spacing w:after="120"/>
      </w:pPr>
      <w:r>
        <w:rPr>
          <w:b/>
          <w:bCs/>
          <w:color w:val="1F2A44"/>
          <w:sz w:val="44"/>
          <w:szCs w:val="44"/>
        </w:rPr>
        <w:t xml:space="preserve">AI Agent Governance Platform</w:t>
      </w:r>
    </w:p>
    <w:p>
      <w:pPr>
        <w:spacing w:after="300"/>
      </w:pPr>
      <w:r>
        <w:rPr>
          <w:i/>
          <w:iCs/>
          <w:color w:val="6B7280"/>
          <w:sz w:val="22"/>
          <w:szCs w:val="22"/>
        </w:rPr>
        <w:t xml:space="preserve">A reference document for the engineering team — architecture, data model, request flow, and design decisions with their rationale.</w:t>
      </w:r>
    </w:p>
    <w:p>
      <w:pPr>
        <w:pBdr>
          <w:bottom w:val="single" w:color="2E5AAC" w:sz="6"/>
        </w:pBdr>
        <w:spacing w:after="300"/>
      </w:pPr>
    </w:p>
    <w:p>
      <w:pPr>
        <w:pStyle w:val="Heading1"/>
        <w:spacing w:after="160" w:before="360"/>
      </w:pPr>
      <w:r>
        <w:rPr>
          <w:b/>
          <w:bCs/>
          <w:color w:val="1F2A44"/>
          <w:sz w:val="30"/>
          <w:szCs w:val="30"/>
        </w:rPr>
        <w:t xml:space="preserve">1. System Overview</w:t>
      </w:r>
    </w:p>
    <w:p>
      <w:pPr>
        <w:spacing w:after="160" w:line="276"/>
      </w:pPr>
      <w:r>
        <w:rPr>
          <w:color w:val="222222"/>
          <w:sz w:val="21"/>
          <w:szCs w:val="21"/>
        </w:rPr>
        <w:t xml:space="preserve">The platform is a governance control plane that sits between AI agents and the tools they call. Every agent action — reading a CRM record, issuing a refund, pushing code — is required to pass through the Agent Gateway, which checks the agent's permissions, evaluates policy, and either executes the action automatically or routes it to a human approver. Every decision, allowed or blocked, is written to an immutable audit log.</w:t>
      </w:r>
    </w:p>
    <w:p>
      <w:pPr>
        <w:spacing w:after="160" w:line="276"/>
      </w:pPr>
      <w:r>
        <w:rPr>
          <w:color w:val="222222"/>
          <w:sz w:val="21"/>
          <w:szCs w:val="21"/>
        </w:rPr>
        <w:t xml:space="preserve">Four properties drive every architectural decision in this document: the Gateway must be low-latency since it sits in the hot path of every action; permissions and policy must be enforceable and auditable, not just documented; approvals must involve a real human in the loop for high-risk actions; and the system must scale from one organization today to many organizations later without a rewrite.</w:t>
      </w:r>
    </w:p>
    <w:p>
      <w:pPr>
        <w:pStyle w:val="Heading1"/>
        <w:spacing w:after="160" w:before="360"/>
      </w:pPr>
      <w:r>
        <w:rPr>
          <w:b/>
          <w:bCs/>
          <w:color w:val="1F2A44"/>
          <w:sz w:val="30"/>
          <w:szCs w:val="30"/>
        </w:rPr>
        <w:t xml:space="preserve">2. Request Flow Diagram</w:t>
      </w:r>
    </w:p>
    <w:p>
      <w:pPr>
        <w:spacing w:after="200"/>
      </w:pPr>
      <w:r>
        <w:drawing>
          <wp:inline distT="0" distB="0" distL="0" distR="0">
            <wp:extent cx="5905500" cy="3952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76"/>
      </w:pPr>
      <w:r>
        <w:rPr>
          <w:color w:val="222222"/>
          <w:sz w:val="21"/>
          <w:szCs w:val="21"/>
        </w:rPr>
        <w:t xml:space="preserve">Both the Dashboard and every Agent talk to the Control Plane and Gateway through a shared API Gateway/Edge layer, which handles authentication and per-tenant rate limiting. The Agent Gateway is the only component that talks to the Policy Engine directly, and it — not the Control Plane — is what actually executes or defers an action. The Control Plane owns everything administrative: registering agents, managing permissions and policies, and surfacing the approval queue to human approvers.</w:t>
      </w:r>
    </w:p>
    <w:p>
      <w:pPr>
        <w:pStyle w:val="Heading1"/>
        <w:spacing w:after="160" w:before="360"/>
      </w:pPr>
      <w:r>
        <w:rPr>
          <w:b/>
          <w:bCs/>
          <w:color w:val="1F2A44"/>
          <w:sz w:val="30"/>
          <w:szCs w:val="30"/>
        </w:rPr>
        <w:t xml:space="preserve">3. Services</w:t>
      </w:r>
    </w:p>
    <w:tbl>
      <w:tblPr>
        <w:tblW w:type="dxa" w:w="9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200"/>
        <w:gridCol w:w="5760"/>
      </w:tblGrid>
      <w:tr>
        <w:trPr>
          <w:tblHeader/>
        </w:trPr>
        <w:tc>
          <w:tcPr>
            <w:tcW w:type="dxa" w:w="1700"/>
            <w:shd w:fill="2E5AA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200"/>
            <w:shd w:fill="2E5AA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Language</w:t>
            </w:r>
          </w:p>
        </w:tc>
        <w:tc>
          <w:tcPr>
            <w:tcW w:type="dxa" w:w="5760"/>
            <w:shd w:fill="2E5AA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rPr>
          <w:tblHeader w:val="false"/>
        </w:trPr>
        <w:tc>
          <w:tcPr>
            <w:tcW w:type="dxa" w:w="1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Gateway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Go</w:t>
            </w:r>
          </w:p>
        </w:tc>
        <w:tc>
          <w:tcPr>
            <w:tcW w:type="dxa" w:w="57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Latency-critical enforcement path: authenticates the agent, checks permissions, evaluates policy via OPA, executes or defers to approval, writes the audit event.</w:t>
            </w:r>
          </w:p>
        </w:tc>
      </w:tr>
      <w:tr>
        <w:trPr>
          <w:tblHeader w:val="false"/>
        </w:trPr>
        <w:tc>
          <w:tcPr>
            <w:tcW w:type="dxa" w:w="1700"/>
            <w:shd w:fill="EAF0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Control Plane</w:t>
            </w:r>
          </w:p>
        </w:tc>
        <w:tc>
          <w:tcPr>
            <w:tcW w:type="dxa" w:w="2200"/>
            <w:shd w:fill="EAF0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Java / Spring Boot</w:t>
            </w:r>
          </w:p>
        </w:tc>
        <w:tc>
          <w:tcPr>
            <w:tcW w:type="dxa" w:w="5760"/>
            <w:shd w:fill="EAF0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Agent registry, permission/policy administration, the human approval queue, and (later) SSO/SAML — everything that is not latency-sensitive.</w:t>
            </w:r>
          </w:p>
        </w:tc>
      </w:tr>
      <w:tr>
        <w:trPr>
          <w:tblHeader w:val="false"/>
        </w:trPr>
        <w:tc>
          <w:tcPr>
            <w:tcW w:type="dxa" w:w="1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Agent Runner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Python / FastAPI</w:t>
            </w:r>
          </w:p>
        </w:tc>
        <w:tc>
          <w:tcPr>
            <w:tcW w:type="dxa" w:w="57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Hosts the mock/demo agents (Sales Agent, Refund Agent) that call the Gateway exactly as a real agent integration would.</w:t>
            </w:r>
          </w:p>
        </w:tc>
      </w:tr>
      <w:tr>
        <w:trPr>
          <w:tblHeader w:val="false"/>
        </w:trPr>
        <w:tc>
          <w:tcPr>
            <w:tcW w:type="dxa" w:w="1700"/>
            <w:shd w:fill="EAF0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Frontend</w:t>
            </w:r>
          </w:p>
        </w:tc>
        <w:tc>
          <w:tcPr>
            <w:tcW w:type="dxa" w:w="2200"/>
            <w:shd w:fill="EAF0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Next.js / TypeScript</w:t>
            </w:r>
          </w:p>
        </w:tc>
        <w:tc>
          <w:tcPr>
            <w:tcW w:type="dxa" w:w="5760"/>
            <w:shd w:fill="EAF0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Admin dashboard: agent registry, approval queue, audit explorer.</w:t>
            </w:r>
          </w:p>
        </w:tc>
      </w:tr>
      <w:tr>
        <w:trPr>
          <w:tblHeader w:val="false"/>
        </w:trPr>
        <w:tc>
          <w:tcPr>
            <w:tcW w:type="dxa" w:w="1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Policy Engine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OPA / Rego</w:t>
            </w:r>
          </w:p>
        </w:tc>
        <w:tc>
          <w:tcPr>
            <w:tcW w:type="dxa" w:w="57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Evaluates governance policy (e.g. refund thresholds) against each action, called by the Gateway.</w:t>
            </w:r>
          </w:p>
        </w:tc>
      </w:tr>
    </w:tbl>
    <w:p>
      <w:pPr>
        <w:spacing w:after="160" w:line="276"/>
      </w:pPr>
      <w:r>
        <w:rPr>
          <w:color w:val="222222"/>
          <w:sz w:val="21"/>
          <w:szCs w:val="21"/>
        </w:rPr>
        <w:t xml:space="preserve">Why two backend languages: the Gateway is a narrow, latency-critical proxy — Go's low overhead and simple concurrency model fit that job well. Everything else in the Control Plane is admin CRUD, identity, and approval-workflow logic, where Spring Boot's mature security/OIDC/SAML tooling saves significant engineering time — and that code is not on the hot path, so the JVM's heavier footprint doesn't cost you anything there.</w:t>
      </w:r>
    </w:p>
    <w:p>
      <w:pPr>
        <w:pStyle w:val="Heading1"/>
        <w:spacing w:after="160" w:before="360"/>
      </w:pPr>
      <w:r>
        <w:rPr>
          <w:b/>
          <w:bCs/>
          <w:color w:val="1F2A44"/>
          <w:sz w:val="30"/>
          <w:szCs w:val="30"/>
        </w:rPr>
        <w:t xml:space="preserve">4. Request Flow — Two Worked Examples</w:t>
      </w:r>
    </w:p>
    <w:p>
      <w:pPr>
        <w:pStyle w:val="Heading2"/>
        <w:spacing w:after="120" w:before="260"/>
      </w:pPr>
      <w:r>
        <w:rPr>
          <w:b/>
          <w:bCs/>
          <w:color w:val="2E5AAC"/>
          <w:sz w:val="24"/>
          <w:szCs w:val="24"/>
        </w:rPr>
        <w:t xml:space="preserve">4.1 Low-risk action (auto-approved)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Refund Agent calls the Gateway: action=refund, amount=750.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Gateway checks permissions for this agent/tool/action — allowed.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Gateway calls OPA with the refund policy input; amount &lt; 1000 → decision=auto.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Gateway calls the (mocked, in POC) payment tool directly.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Gateway writes a tool_calls row and an audit_logs event; response returned to the agent synchronously.</w:t>
      </w:r>
    </w:p>
    <w:p>
      <w:pPr>
        <w:pStyle w:val="Heading2"/>
        <w:spacing w:after="120" w:before="260"/>
      </w:pPr>
      <w:r>
        <w:rPr>
          <w:b/>
          <w:bCs/>
          <w:color w:val="2E5AAC"/>
          <w:sz w:val="24"/>
          <w:szCs w:val="24"/>
        </w:rPr>
        <w:t xml:space="preserve">4.2 High-risk action (human approval required)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color w:val="222222"/>
          <w:sz w:val="21"/>
          <w:szCs w:val="21"/>
        </w:rPr>
        <w:t xml:space="preserve">Refund Agent calls the Gateway: action=refund, amount=25000.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color w:val="222222"/>
          <w:sz w:val="21"/>
          <w:szCs w:val="21"/>
        </w:rPr>
        <w:t xml:space="preserve">Permission check passes; OPA returns decision=finance.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color w:val="222222"/>
          <w:sz w:val="21"/>
          <w:szCs w:val="21"/>
        </w:rPr>
        <w:t xml:space="preserve">Gateway calls the Control Plane to create an approvals row (status=pending) instead of executing.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color w:val="222222"/>
          <w:sz w:val="21"/>
          <w:szCs w:val="21"/>
        </w:rPr>
        <w:t xml:space="preserve">The approval appears in the dashboard's approval queue; a finance approver approves or rejects it.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color w:val="222222"/>
          <w:sz w:val="21"/>
          <w:szCs w:val="21"/>
        </w:rPr>
        <w:t xml:space="preserve">On approval, the deferred action executes and is logged; on rejection, it's logged as blocked. Either way, an audit_logs event is written.</w:t>
      </w:r>
    </w:p>
    <w:p>
      <w:pPr>
        <w:pStyle w:val="Heading1"/>
        <w:spacing w:after="160" w:before="360"/>
      </w:pPr>
      <w:r>
        <w:rPr>
          <w:b/>
          <w:bCs/>
          <w:color w:val="1F2A44"/>
          <w:sz w:val="30"/>
          <w:szCs w:val="30"/>
        </w:rPr>
        <w:t xml:space="preserve">5. Data Model</w:t>
      </w:r>
    </w:p>
    <w:p>
      <w:pPr>
        <w:spacing w:after="160" w:line="276"/>
      </w:pPr>
      <w:r>
        <w:rPr>
          <w:color w:val="222222"/>
          <w:sz w:val="21"/>
          <w:szCs w:val="21"/>
        </w:rPr>
        <w:t xml:space="preserve">Every table carries org_id from day one, even though the current build is single-organization. This means turning on Postgres Row-Level Security later — the mechanism that enforces tenant isolation — is a configuration change, not a migration that touches every row and every query. See db/migrations/V1__init_schema.sql in the repo for the full, current schema.</w:t>
      </w:r>
    </w:p>
    <w:tbl>
      <w:tblPr>
        <w:tblW w:type="dxa" w:w="9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4260"/>
      </w:tblGrid>
      <w:tr>
        <w:trPr>
          <w:tblHeader/>
        </w:trPr>
        <w:tc>
          <w:tcPr>
            <w:tcW w:type="dxa" w:w="2000"/>
            <w:shd w:fill="2E5AA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400"/>
            <w:shd w:fill="2E5AA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4260"/>
            <w:shd w:fill="2E5AA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organizations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id, name, created_at</w:t>
            </w:r>
          </w:p>
        </w:tc>
        <w:tc>
          <w:tcPr>
            <w:tcW w:type="dxa" w:w="42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Tenant boundary — every other table references this.</w:t>
            </w:r>
          </w:p>
        </w:tc>
      </w:tr>
      <w:tr>
        <w:trPr>
          <w:tblHeader w:val="false"/>
        </w:trPr>
        <w:tc>
          <w:tcPr>
            <w:tcW w:type="dxa" w:w="2000"/>
            <w:shd w:fill="EAF0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users</w:t>
            </w:r>
          </w:p>
        </w:tc>
        <w:tc>
          <w:tcPr>
            <w:tcW w:type="dxa" w:w="3400"/>
            <w:shd w:fill="EAF0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id, org_id, email, role</w:t>
            </w:r>
          </w:p>
        </w:tc>
        <w:tc>
          <w:tcPr>
            <w:tcW w:type="dxa" w:w="4260"/>
            <w:shd w:fill="EAF0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Human operators and approvers.</w:t>
            </w:r>
          </w:p>
        </w:tc>
      </w:tr>
      <w:tr>
        <w:trPr>
          <w:tblHeader w:val="false"/>
        </w:trPr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agents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id, org_id, name, status, owner_id</w:t>
            </w:r>
          </w:p>
        </w:tc>
        <w:tc>
          <w:tcPr>
            <w:tcW w:type="dxa" w:w="42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Registered agents.</w:t>
            </w:r>
          </w:p>
        </w:tc>
      </w:tr>
      <w:tr>
        <w:trPr>
          <w:tblHeader w:val="false"/>
        </w:trPr>
        <w:tc>
          <w:tcPr>
            <w:tcW w:type="dxa" w:w="2000"/>
            <w:shd w:fill="EAF0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agent_identities</w:t>
            </w:r>
          </w:p>
        </w:tc>
        <w:tc>
          <w:tcPr>
            <w:tcW w:type="dxa" w:w="3400"/>
            <w:shd w:fill="EAF0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id, org_id, agent_id, api_key_hash</w:t>
            </w:r>
          </w:p>
        </w:tc>
        <w:tc>
          <w:tcPr>
            <w:tcW w:type="dxa" w:w="4260"/>
            <w:shd w:fill="EAF0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Service-account style credential per agent.</w:t>
            </w:r>
          </w:p>
        </w:tc>
      </w:tr>
      <w:tr>
        <w:trPr>
          <w:tblHeader w:val="false"/>
        </w:trPr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permissions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id, org_id, agent_id, tool, action, allowed</w:t>
            </w:r>
          </w:p>
        </w:tc>
        <w:tc>
          <w:tcPr>
            <w:tcW w:type="dxa" w:w="42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Per-agent, per-tool, per-action grants.</w:t>
            </w:r>
          </w:p>
        </w:tc>
      </w:tr>
      <w:tr>
        <w:trPr>
          <w:tblHeader w:val="false"/>
        </w:trPr>
        <w:tc>
          <w:tcPr>
            <w:tcW w:type="dxa" w:w="2000"/>
            <w:shd w:fill="EAF0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policies</w:t>
            </w:r>
          </w:p>
        </w:tc>
        <w:tc>
          <w:tcPr>
            <w:tcW w:type="dxa" w:w="3400"/>
            <w:shd w:fill="EAF0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id, org_id, name, rule_json</w:t>
            </w:r>
          </w:p>
        </w:tc>
        <w:tc>
          <w:tcPr>
            <w:tcW w:type="dxa" w:w="4260"/>
            <w:shd w:fill="EAF0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Policy definitions (mirrored into OPA/Rego for evaluation).</w:t>
            </w:r>
          </w:p>
        </w:tc>
      </w:tr>
      <w:tr>
        <w:trPr>
          <w:tblHeader w:val="false"/>
        </w:trPr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approvals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id, org_id, agent_id, action, status, approver_id, created_at, resolved_at</w:t>
            </w:r>
          </w:p>
        </w:tc>
        <w:tc>
          <w:tcPr>
            <w:tcW w:type="dxa" w:w="42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Pending / approved / rejected human-approval requests.</w:t>
            </w:r>
          </w:p>
        </w:tc>
      </w:tr>
      <w:tr>
        <w:trPr>
          <w:tblHeader w:val="false"/>
        </w:trPr>
        <w:tc>
          <w:tcPr>
            <w:tcW w:type="dxa" w:w="2000"/>
            <w:shd w:fill="EAF0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executions</w:t>
            </w:r>
          </w:p>
        </w:tc>
        <w:tc>
          <w:tcPr>
            <w:tcW w:type="dxa" w:w="3400"/>
            <w:shd w:fill="EAF0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id, org_id, agent_id, status, started_at, completed_at</w:t>
            </w:r>
          </w:p>
        </w:tc>
        <w:tc>
          <w:tcPr>
            <w:tcW w:type="dxa" w:w="4260"/>
            <w:shd w:fill="EAF0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One row per agent run.</w:t>
            </w:r>
          </w:p>
        </w:tc>
      </w:tr>
      <w:tr>
        <w:trPr>
          <w:tblHeader w:val="false"/>
        </w:trPr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tool_calls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id, org_id, execution_id, tool, action, payload, result, latency_ms</w:t>
            </w:r>
          </w:p>
        </w:tc>
        <w:tc>
          <w:tcPr>
            <w:tcW w:type="dxa" w:w="42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Every gateway-mediated call to a downstream tool.</w:t>
            </w:r>
          </w:p>
        </w:tc>
      </w:tr>
      <w:tr>
        <w:trPr>
          <w:tblHeader w:val="false"/>
        </w:trPr>
        <w:tc>
          <w:tcPr>
            <w:tcW w:type="dxa" w:w="2000"/>
            <w:shd w:fill="EAF0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audit_logs</w:t>
            </w:r>
          </w:p>
        </w:tc>
        <w:tc>
          <w:tcPr>
            <w:tcW w:type="dxa" w:w="3400"/>
            <w:shd w:fill="EAF0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id, org_id, execution_id, event_type, detail_json, created_at</w:t>
            </w:r>
          </w:p>
        </w:tc>
        <w:tc>
          <w:tcPr>
            <w:tcW w:type="dxa" w:w="4260"/>
            <w:shd w:fill="EAF0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Append-only trail of every decision and action.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2A44"/>
          <w:sz w:val="30"/>
          <w:szCs w:val="30"/>
        </w:rPr>
        <w:t xml:space="preserve">6. Key Design Decisions &amp; Rationale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rPr>
          <w:color w:val="222222"/>
          <w:sz w:val="21"/>
          <w:szCs w:val="21"/>
        </w:rPr>
        <w:t xml:space="preserve">Two backend languages, one clear boundary — Go owns the hot path (Gateway), Spring Boot owns admin/identity/approvals (Control Plane). Neither service calls into the other's database tables directly; they talk over HTTP.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rPr>
          <w:color w:val="222222"/>
          <w:sz w:val="21"/>
          <w:szCs w:val="21"/>
        </w:rPr>
        <w:t xml:space="preserve">OPA/Rego for policy, not a custom rules engine — avoids building and maintaining a bespoke policy DSL, and gives per-tenant policy bundles a natural home later.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rPr>
          <w:color w:val="222222"/>
          <w:sz w:val="21"/>
          <w:szCs w:val="21"/>
        </w:rPr>
        <w:t xml:space="preserve">org_id on every table from the first migration — the single highest-leverage decision for the eventual multi-tenant phase; retrofitting it later is expensive, adding it now is free.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rPr>
          <w:color w:val="222222"/>
          <w:sz w:val="21"/>
          <w:szCs w:val="21"/>
        </w:rPr>
        <w:t xml:space="preserve">Audit log is append-only and separate from tool_calls — tool_calls records what happened technically; audit_logs records the governance decision trail (permission checks, policy decisions, approvals), which is the artifact customers and auditors actually care about.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rPr>
          <w:color w:val="222222"/>
          <w:sz w:val="21"/>
          <w:szCs w:val="21"/>
        </w:rPr>
        <w:t xml:space="preserve">Agent identity is distinct from user identity — agents authenticate via signed API keys (agent_identities), not through the same OIDC flow as human dashboard users, because they are a different kind of principal with different lifecycle and revocation needs.</w:t>
      </w:r>
    </w:p>
    <w:p>
      <w:pPr>
        <w:pStyle w:val="Heading1"/>
        <w:spacing w:after="160" w:before="360"/>
      </w:pPr>
      <w:r>
        <w:rPr>
          <w:b/>
          <w:bCs/>
          <w:color w:val="1F2A44"/>
          <w:sz w:val="30"/>
          <w:szCs w:val="30"/>
        </w:rPr>
        <w:t xml:space="preserve">7. Non-Goals (Current Phase)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rPr>
          <w:color w:val="222222"/>
          <w:sz w:val="21"/>
          <w:szCs w:val="21"/>
        </w:rPr>
        <w:t xml:space="preserve">Multi-tenancy is not yet enforced (schema supports it; Row-Level Security is not yet enabled) — see the separate Multi-Tenant SaaS Architecture document for that phase.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rPr>
          <w:color w:val="222222"/>
          <w:sz w:val="21"/>
          <w:szCs w:val="21"/>
        </w:rPr>
        <w:t xml:space="preserve">Real tool integrations (CRM, payments) are mocked, not live.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rPr>
          <w:color w:val="222222"/>
          <w:sz w:val="21"/>
          <w:szCs w:val="21"/>
        </w:rPr>
        <w:t xml:space="preserve">Billing, SSO/SAML, and multi-region deployment are out of scope until the funded phase — see the Bootstrap-to-Funded Stack document.</w:t>
      </w:r>
    </w:p>
    <w:p>
      <w:pPr>
        <w:pStyle w:val="Heading1"/>
        <w:spacing w:after="160" w:before="360"/>
      </w:pPr>
      <w:r>
        <w:rPr>
          <w:b/>
          <w:bCs/>
          <w:color w:val="1F2A44"/>
          <w:sz w:val="30"/>
          <w:szCs w:val="30"/>
        </w:rPr>
        <w:t xml:space="preserve">8. Related Documents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rPr>
          <w:color w:val="222222"/>
          <w:sz w:val="21"/>
          <w:szCs w:val="21"/>
        </w:rPr>
        <w:t xml:space="preserve">docs/PROJECT_GUIDE.md — local setup, folder-by-folder guide, and coding conventions for new contributors.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rPr>
          <w:color w:val="222222"/>
          <w:sz w:val="21"/>
          <w:szCs w:val="21"/>
        </w:rPr>
        <w:t xml:space="preserve">Multi-Tenant SaaS Architecture — the target architecture once selling to multiple organizations.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rPr>
          <w:color w:val="222222"/>
          <w:sz w:val="21"/>
          <w:szCs w:val="21"/>
        </w:rPr>
        <w:t xml:space="preserve">Bootstrap-to-Funded Stack Plan — which pieces run on free infrastructure now and what they upgrade to.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AI Agent Governance Platform — Architecture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399bcedfe8cf05f07abe0ca206b3e16048f9084.undefined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2026-09-04T04:16:28.392Z</dcterms:created>
  <dcterms:modified xsi:type="dcterms:W3CDTF">2026-09-04T04:16:28.403Z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