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/>
          <w:iCs/>
        </w:rPr>
        <w:t xml:space="preserve">где Ci — i-й символ получившегося зашифрованного послания, Pi — i-й</w:t>
      </w:r>
      <w:r>
        <w:rPr>
          <w:i/>
          <w:iCs/>
        </w:rPr>
        <w:t xml:space="preserve"> </w:t>
      </w:r>
      <w:r>
        <w:rPr>
          <w:i/>
          <w:iCs/>
        </w:rPr>
        <w:t xml:space="preserve">символ открытого текста, Ki — i-й символ ключа, i = 1, m. Размерности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открытого текста и ключа должны совпадать, и полученный шифротекст</w:t>
      </w:r>
      <w:r>
        <w:rPr>
          <w:i/>
          <w:iCs/>
        </w:rPr>
        <w:t xml:space="preserve"> </w:t>
      </w:r>
      <w:r>
        <w:rPr>
          <w:i/>
          <w:iCs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/>
          <w:iCs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/>
          <w:iCs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p>
      <w:pPr>
        <w:pStyle w:val="CaptionedFigure"/>
      </w:pPr>
      <w:r>
        <w:drawing>
          <wp:inline>
            <wp:extent cx="3733800" cy="2115548"/>
            <wp:effectExtent b="0" l="0" r="0" t="0"/>
            <wp:docPr descr="(Программный код приложения, реализующего режим однократного гаммирования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(Программный код приложения, реализующего режим однократного гаммирования)</w:t>
      </w:r>
    </w:p>
    <w:p>
      <w:pPr>
        <w:pStyle w:val="CaptionedFigure"/>
      </w:pPr>
      <w:r>
        <w:drawing>
          <wp:inline>
            <wp:extent cx="3733800" cy="2767504"/>
            <wp:effectExtent b="0" l="0" r="0" t="0"/>
            <wp:docPr descr="(Программный код приложения, реализующего режим однократного гаммирования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(Программный код приложения, реализующего режим однократного гаммирования)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9"/>
    <w:bookmarkStart w:id="3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Данзанова Саяна, НПИбд-01-21, 1032217624</dc:creator>
  <dc:language>ru-RU</dc:language>
  <cp:keywords/>
  <dcterms:created xsi:type="dcterms:W3CDTF">2024-10-16T19:49:43Z</dcterms:created>
  <dcterms:modified xsi:type="dcterms:W3CDTF">2024-10-16T19:49:43Z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