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C2B3A"/>
          <w:sz w:val="44"/>
          <w:szCs w:val="44"/>
        </w:rPr>
        <w:t xml:space="preserve">AI Buying Assistant — MVP</w:t>
      </w:r>
    </w:p>
    <w:p>
      <w:pPr>
        <w:spacing w:after="300"/>
      </w:pPr>
      <w:r>
        <w:rPr>
          <w:i/>
          <w:iCs/>
          <w:color w:val="444444"/>
          <w:sz w:val="22"/>
          <w:szCs w:val="22"/>
        </w:rPr>
        <w:t xml:space="preserve">A conversational product-recommendation system: natural-language queries resolved into ranked, grounded product recommendations across a cached catalog, semantic (RAG) retrieval, and a live web-search fallback.</w:t>
      </w:r>
    </w:p>
    <w:p>
      <w:pPr>
        <w:pStyle w:val="Heading1"/>
        <w:spacing w:after="150" w:before="300"/>
      </w:pPr>
      <w:r>
        <w:t xml:space="preserve">1. Data Models &amp; Schema</w:t>
      </w:r>
    </w:p>
    <w:p>
      <w:pPr>
        <w:spacing w:after="140"/>
      </w:pPr>
      <w:r>
        <w:t xml:space="preserve">MongoDB is the primary store (see §7). ProductEmbedding and BuyingGuide live in a separate vector database, cross-referenced by ID.</w:t>
      </w:r>
    </w:p>
    <w:p>
      <w:pPr>
        <w:pStyle w:val="Heading2"/>
        <w:spacing w:after="120" w:before="240"/>
      </w:pPr>
      <w:r>
        <w:t xml:space="preserve">User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50"/>
      </w:tblGrid>
      <w:tr>
        <w:tc>
          <w:tcPr>
            <w:tcW w:type="dxa" w:w="25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5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index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Conversation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50"/>
      </w:tblGrid>
      <w:tr>
        <w:tc>
          <w:tcPr>
            <w:tcW w:type="dxa" w:w="25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5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userId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User._id, indexed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Message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50"/>
      </w:tblGrid>
      <w:tr>
        <w:tc>
          <w:tcPr>
            <w:tcW w:type="dxa" w:w="25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5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Conversation._id, indexed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| assistant | system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text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parsedIntent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Embedded object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category, hardFilters, softPreferences, semanticTerms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ProductCategory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50"/>
      </w:tblGrid>
      <w:tr>
        <w:tc>
          <w:tcPr>
            <w:tcW w:type="dxa" w:w="25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5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e.g. Laptop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parentCategory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 (nullable)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self-referencing, taxonomy tree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ProductCache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50"/>
      </w:tblGrid>
      <w:tr>
        <w:tc>
          <w:tcPr>
            <w:tcW w:type="dxa" w:w="25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5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ProductCategory._id, indexed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title, brand, model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price, currency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Number, String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indexed on price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specifications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Embedded object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schema-flexible, varies per category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rating, reviewCount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/ Flipkart / etc.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buyUrl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lastUpdated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indexed — drives staleness checks</w:t>
            </w:r>
          </w:p>
        </w:tc>
      </w:tr>
    </w:tbl>
    <w:p>
      <w:pPr>
        <w:pStyle w:val="Heading2"/>
        <w:spacing w:after="120" w:before="240"/>
      </w:pPr>
      <w:r>
        <w:t xml:space="preserve">ProductEmbedding (vector DB)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50"/>
      </w:tblGrid>
      <w:tr>
        <w:tc>
          <w:tcPr>
            <w:tcW w:type="dxa" w:w="25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5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embeddingId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 in vector DB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ProductCache._id — cross-DB join key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embeddingVector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Float[]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metadata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denormalized category, brand for native filtering</w:t>
            </w:r>
          </w:p>
        </w:tc>
      </w:tr>
    </w:tbl>
    <w:p>
      <w:pPr>
        <w:pStyle w:val="Heading2"/>
        <w:spacing w:after="120" w:before="240"/>
      </w:pPr>
      <w:r>
        <w:t xml:space="preserve">BuyingGuide (vector DB — MVP: replaced by hardcoded lookup, see §4)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50"/>
      </w:tblGrid>
      <w:tr>
        <w:tc>
          <w:tcPr>
            <w:tcW w:type="dxa" w:w="25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5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guideId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title, content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ProductCategory._id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Float[]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Deferred to Phase 2 (not needed for MVP): UserPreference, SearchHistory — personalization/analytics layers that don't block a working v1.</w:t>
      </w:r>
    </w:p>
    <w:p>
      <w:pPr>
        <w:pStyle w:val="Heading1"/>
        <w:spacing w:after="150" w:before="300"/>
      </w:pPr>
      <w:r>
        <w:t xml:space="preserve">2. Minimal Routes (MVP)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100"/>
        <w:gridCol w:w="2250"/>
      </w:tblGrid>
      <w:tr>
        <w:tc>
          <w:tcPr>
            <w:tcW w:type="dxa" w:w="14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10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/auth/profile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/conversations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new conversation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/conversations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user's conversations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/conversations/:id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Fetch one conversation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/chat/message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entrypoint — triggers retrieval pipeline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/chat/history/:conversationId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Paginated message history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/search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retrieval + merge pipeline directly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/compare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comparison across products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product detail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/products/category/:category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 by category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/products/:id/buy-links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Marketplace links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/internal/web-search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only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Search Agent — not exposed to frontend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Everything else from the production route list (/internal/rag, /internal/extract, /internal/rank as separate services, /preferences) is deferred — MVP collapses those into in-process logic.</w:t>
      </w:r>
    </w:p>
    <w:p>
      <w:pPr>
        <w:pStyle w:val="Heading1"/>
        <w:spacing w:after="150" w:before="300"/>
      </w:pPr>
      <w:r>
        <w:t xml:space="preserve">3. Response Generation — From Query to Answer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User opens a conversation, then submits a query (e.g. “gaming laptop under 50000, preferably Dell”).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The LLM parser splits the query into hard filters (price), soft preferences (brand), and semantic terms (“gaming specs”).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MongoDB runs a structured query using the hard filters plus derived spec filters. If it returns enough results, the pipeline stops 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If Mongo is thin, a semantic/vector lookup resolves the ambiguous term into concrete thresholds (GPU/RAM/CPU) and runs a vector search, then merges with the structured results.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If the merged set is still thin, the Web Search Agent queries live marketplaces, extracts and normalizes results into the ProductCache schema, filters again locally, and upserts into the cache.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The top 5 ranked candidates go through diff() — a deterministic, code-level attribute comparison against the same derived filters used for ranking.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The Explanation LLM phrases that diff into natural language. It is constrained to only the facts in the diff object, so it narrates a decision already made rather than inventing one.</w:t>
      </w:r>
    </w:p>
    <w:p>
      <w:pPr>
        <w:pStyle w:val="Heading1"/>
        <w:spacing w:after="150" w:before="300"/>
      </w:pPr>
      <w:r>
        <w:t xml:space="preserve">4. Merging Strategy — Unified Search Across Three Sources</w:t>
      </w:r>
    </w:p>
    <w:p>
      <w:pPr>
        <w:spacing w:after="140"/>
      </w:pPr>
      <w:r>
        <w:t xml:space="preserve">MVP uses a sequential fallback, not a parallel three-way merge: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MongoDB structured query runs first (cheapest, deterministic). Stop here if it returns ≥ 5 results.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if Mongo is thin, run vector search as a fallback and merge by deduping on productId — no weighted scoring in MVP.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if the merged set is still thin, the Web Search Agent runs; its results are written into ProductCache synchronously, doubling as the cache-warming mechanism.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Final sort: boolean brand-preference match first, then price ascending — not a multi-factor weighted score.</w:t>
      </w:r>
    </w:p>
    <w:p>
      <w:pPr>
        <w:spacing w:after="140"/>
      </w:pPr>
      <w:r>
        <w:t xml:space="preserve">“Gaming specs” resolution in MVP is a hardcoded lookup table, not a live RAG query — the LLM's own domain knowledge covers common categories; RAG's real value is the long tail of ambiguous terms, deferred to Phase 2.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MVP shortcut</w:t>
            </w:r>
          </w:p>
        </w:tc>
        <w:tc>
          <w:tcPr>
            <w:tcW w:type="dxa" w:w="4675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Deferred production upgrade</w:t>
            </w:r>
          </w:p>
        </w:tc>
      </w:tr>
      <w:tr>
        <w:tc>
          <w:tcPr>
            <w:tcW w:type="dxa" w:w="46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Sequential fallback (Mongo → vector → web)</w:t>
            </w:r>
          </w:p>
        </w:tc>
        <w:tc>
          <w:tcPr>
            <w:tcW w:type="dxa" w:w="46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Parallel structured + semantic query, merged with overlap scoring</w:t>
            </w:r>
          </w:p>
        </w:tc>
      </w:tr>
      <w:tr>
        <w:tc>
          <w:tcPr>
            <w:tcW w:type="dxa" w:w="46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Hardcoded semantic lookup table</w:t>
            </w:r>
          </w:p>
        </w:tc>
        <w:tc>
          <w:tcPr>
            <w:tcW w:type="dxa" w:w="46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RAG over BuyingGuide vector collection</w:t>
            </w:r>
          </w:p>
        </w:tc>
      </w:tr>
      <w:tr>
        <w:tc>
          <w:tcPr>
            <w:tcW w:type="dxa" w:w="46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 brand-match + price sort</w:t>
            </w:r>
          </w:p>
        </w:tc>
        <w:tc>
          <w:tcPr>
            <w:tcW w:type="dxa" w:w="46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Weighted multi-factor ranking (semantic/spec/rating/price/brand)</w:t>
            </w:r>
          </w:p>
        </w:tc>
      </w:tr>
      <w:tr>
        <w:tc>
          <w:tcPr>
            <w:tcW w:type="dxa" w:w="46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Synchronous web-write on cache miss</w:t>
            </w:r>
          </w:p>
        </w:tc>
        <w:tc>
          <w:tcPr>
            <w:tcW w:type="dxa" w:w="46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Async ingestion pipeline + write-through vector sync</w:t>
            </w:r>
          </w:p>
        </w:tc>
      </w:tr>
    </w:tbl>
    <w:p>
      <w:pPr>
        <w:pStyle w:val="Heading1"/>
        <w:spacing w:after="150" w:before="300"/>
      </w:pPr>
      <w:r>
        <w:t xml:space="preserve">5. Evaluation Pipeline — Judging the Explanation Quality</w:t>
      </w:r>
    </w:p>
    <w:p>
      <w:pPr>
        <w:spacing w:after="140"/>
      </w:pPr>
      <w:r>
        <w:t xml:space="preserve">The core question: is the explanation actually grounded in the diff, or did the LLM add something it wasn't given?</w:t>
      </w:r>
    </w:p>
    <w:p>
      <w:pPr>
        <w:pStyle w:val="Heading2"/>
        <w:spacing w:after="120" w:before="240"/>
      </w:pPr>
      <w:r>
        <w:t xml:space="preserve">Pipeline stages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Capture: every explanation call logs (query, diffObject, generatedExplanation).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Automated groundedness check (every response): extract attributes mentioned in the explanation and verify each exists in the diff object. Score = attributes grounded / attributes mentioned.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LLM-as-judge check (sampled): a separate judge prompt checks whether the explanation states anything unsupported by the diff, and whether it addresses the top reason for each exclusion.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Consistency check: verifies the stated reasoning matches the actual ranking logic (brand-match then price) — a mismatch here is a more serious failure than a factual slip.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Human review sampling: 2–5% of responses, focused on cases the automated checks flagged as borderline.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Feedback loop: flagged responses refine the Explanation LLM's system prompt rather than being silently discarded.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4675"/>
            <w:shd w:fill="0F6E5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Deferred</w:t>
            </w:r>
          </w:p>
        </w:tc>
      </w:tr>
      <w:tr>
        <w:tc>
          <w:tcPr>
            <w:tcW w:type="dxa" w:w="46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Keyword-level groundedness check on every response</w:t>
            </w:r>
          </w:p>
        </w:tc>
        <w:tc>
          <w:tcPr>
            <w:tcW w:type="dxa" w:w="46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semantic entailment check</w:t>
            </w:r>
          </w:p>
        </w:tc>
      </w:tr>
      <w:tr>
        <w:tc>
          <w:tcPr>
            <w:tcW w:type="dxa" w:w="46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LLM-judge on a sample</w:t>
            </w:r>
          </w:p>
        </w:tc>
        <w:tc>
          <w:tcPr>
            <w:tcW w:type="dxa" w:w="46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LLM-judge on every response, dedicated eval model</w:t>
            </w:r>
          </w:p>
        </w:tc>
      </w:tr>
      <w:tr>
        <w:tc>
          <w:tcPr>
            <w:tcW w:type="dxa" w:w="46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review of flagged cases only</w:t>
            </w:r>
          </w:p>
        </w:tc>
        <w:tc>
          <w:tcPr>
            <w:tcW w:type="dxa" w:w="46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human-eval rotation with inter-rater agreement</w:t>
            </w:r>
          </w:p>
        </w:tc>
      </w:tr>
      <w:tr>
        <w:tc>
          <w:tcPr>
            <w:tcW w:type="dxa" w:w="46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Metrics logged, not yet dashboarded</w:t>
            </w:r>
          </w:p>
        </w:tc>
        <w:tc>
          <w:tcPr>
            <w:tcW w:type="dxa" w:w="4675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Groundedness/hallucination rate as tracked production SLOs</w:t>
            </w:r>
          </w:p>
        </w:tc>
      </w:tr>
    </w:tbl>
    <w:p>
      <w:pPr>
        <w:pStyle w:val="Heading1"/>
        <w:spacing w:after="150" w:before="300"/>
      </w:pPr>
      <w:r>
        <w:t xml:space="preserve">6. Functional &amp; Non-Functional Requirements</w:t>
      </w:r>
    </w:p>
    <w:p>
      <w:pPr>
        <w:pStyle w:val="Heading2"/>
        <w:spacing w:after="120" w:before="240"/>
      </w:pPr>
      <w:r>
        <w:t xml:space="preserve">Functional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Register, log in, start a conversation.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 a natural-language product query and receive ranked recommendations.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Receive an explanation for why the top product was chosen and why alternatives were excluded.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 specific products side by side.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Retrieve buying links for a recommended product.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 and retrieve conversation history per user.</w:t>
      </w:r>
    </w:p>
    <w:p>
      <w:pPr>
        <w:pStyle w:val="Heading2"/>
        <w:spacing w:after="120" w:before="240"/>
      </w:pPr>
      <w:r>
        <w:t xml:space="preserve">Non-Functional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Latency: Mongo-only path resolves in well under 1s; web-search fallback may take longer but must have a bounded timeout.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Availability: structured Mongo results still return if the vector DB or web agent is unavailable — graceful degradation, not full failure.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Consistency: the vector DB is a derived index, not source of truth; ProductCache in Mongo is authoritative.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Security: authenticated routes require a valid session/token; internal routes are not reachable from the frontend.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Explainability: every explanation must be traceable to a diffObject — a correctness requirement, not a nice-to-have.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quality dependency: explanation grounding is only as reliable as the underlying specifications tagging — an accepted, named limitation for MVP.</w:t>
      </w:r>
    </w:p>
    <w:p>
      <w:pPr>
        <w:pStyle w:val="Heading1"/>
        <w:spacing w:after="150" w:before="300"/>
      </w:pPr>
      <w:r>
        <w:t xml:space="preserve">7. Why MongoDB</w:t>
      </w:r>
    </w:p>
    <w:p>
      <w:pPr>
        <w:spacing w:after="140"/>
      </w:pPr>
      <w:r>
        <w:t xml:space="preserve">Product specifications vary significantly and unpredictably across categories — a laptop has GPU/CPU/RAM, a monitor has RefreshRate/PanelType, a refrigerator has EnergyRating/Capacity. A relational schema would need either a sparse fixed table or a join-heavy normalized attribute table per category.</w:t>
      </w:r>
    </w:p>
    <w:p>
      <w:pPr>
        <w:spacing w:after="140"/>
      </w:pPr>
      <w:r>
        <w:t xml:space="preserve">MongoDB's document model lets ProductCache.specifications be embedded and schema-flexible — each product only carries fields relevant to its category, with no migration needed for a new category or spec field.</w:t>
      </w:r>
    </w:p>
    <w:p>
      <w:pPr>
        <w:spacing w:after="140"/>
      </w:pPr>
      <w:r>
        <w:rPr>
          <w:i/>
          <w:iCs/>
        </w:rPr>
        <w:t xml:space="preserve">Trade-off accepted knowingly: a flexible nested schema is harder to index efficiently for range queries across mixed categories. The production fix — a normalized filterableSpecs sub-object with fixed, indexed fields computed at ingestion — is deferred; MVP accepts less efficient filtering for schema simplicity while the catalog is small.</w:t>
      </w:r>
    </w:p>
    <w:p>
      <w:pPr>
        <w:pStyle w:val="Heading1"/>
        <w:spacing w:after="150" w:before="300"/>
      </w:pPr>
      <w:r>
        <w:t xml:space="preserve">8. How RAG Improves Retrieval Quality Here</w:t>
      </w:r>
    </w:p>
    <w:p>
      <w:pPr>
        <w:spacing w:after="140"/>
      </w:pPr>
      <w:r>
        <w:t xml:space="preserve">Structured filtering can only match what's explicitly tagged — it can't interpret a subjective phrase like “gaming specs” on its own. RAG addresses two distinct problems: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Resolving ambiguous query terms: retrieves domain knowledge from curated buying guides and benchmarks rather than the LLM inventing thresholds from general training knowledge.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Catching semantically-relevant products structured tagging misses: a mistagged field (e.g. “RTX 4050 Laptop GPU” vs. an exact-match filter) can still surface via vector similarity even when an exact-match Mongo query misses it.</w:t>
      </w:r>
    </w:p>
    <w:p>
      <w:pPr>
        <w:spacing w:after="140"/>
      </w:pPr>
      <w:r>
        <w:rPr>
          <w:i/>
          <w:iCs/>
        </w:rPr>
        <w:t xml:space="preserve">In MVP specifically, only the second mechanism's simplified fallback is active (vector search runs only when structured filtering is thin); the first mechanism (live RAG over BuyingGuide) is replaced by a hardcoded lookup table for common-case terms, with true RAG retrieval deferred to Phase 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2026-07-22T10:38:32.667Z</dcterms:created>
  <dcterms:modified xsi:type="dcterms:W3CDTF">2026-07-22T10:38:32.667Z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