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lide-1-and-slide-2"/>
      <w:r>
        <w:t xml:space="preserve">Slide 1 and ## Slide 2</w:t>
      </w:r>
      <w:bookmarkEnd w:id="20"/>
    </w:p>
    <w:p>
      <w:pPr>
        <w:pStyle w:val="FirstParagraph"/>
      </w:pPr>
      <w:r>
        <w:t xml:space="preserve">Hi everyone! Today I’m going to talk about visualizing probability distributions across bivariate cyclic temporal granularities. My name is Sayani Gupta and I am currently doing my PhD at Monash university. If you would like to follow along the slides, you can find them at</w:t>
      </w:r>
      <w:r>
        <w:t xml:space="preserve"> </w:t>
      </w:r>
      <w:hyperlink r:id="rId21">
        <w:r>
          <w:rPr>
            <w:rStyle w:val="Hyperlink"/>
          </w:rPr>
          <w:t xml:space="preserve">https://sayanigupta-ows2020.netlify.app/</w:t>
        </w:r>
      </w:hyperlink>
      <w:r>
        <w:t xml:space="preserve">. You can follow me on Github</w:t>
      </w:r>
      <w:r>
        <w:t xml:space="preserve"> </w:t>
      </w:r>
      <w:r>
        <w:t xml:space="preserve">@Sayani07</w:t>
      </w:r>
      <w:r>
        <w:t xml:space="preserve"> </w:t>
      </w:r>
      <w:r>
        <w:t xml:space="preserve">and on Twitter at SayaniGupta07. This is a joint work with my thesis supervisors Di and Rob.</w:t>
      </w:r>
    </w:p>
    <w:p>
      <w:pPr>
        <w:pStyle w:val="Heading2"/>
      </w:pPr>
      <w:bookmarkStart w:id="22" w:name="slide-2"/>
      <w:r>
        <w:t xml:space="preserve">Slide 2</w:t>
      </w:r>
      <w:bookmarkEnd w:id="22"/>
    </w:p>
    <w:p>
      <w:pPr>
        <w:pStyle w:val="FirstParagraph"/>
      </w:pPr>
      <w:r>
        <w:t xml:space="preserve">A smart meter is a device that digitally measures your energy use. Smart meters are now in place in all Victorian homes. Which means every year, data for 6.4 million households are recorded for every 30 minutes of an hour, for every 24 hours of the day and for 365 days of the year - which in turn implies that there are more than 100 billion half hourly observations that are collected per year. These households are have different demographic properties such as the existence of solar panels, central heating or air conditioning as well as different behavioral patterns. To have a perspective of how different the energy consumption for each household is, I plot the energy consumption along the y-axis against time from past to future. As can be observed from this animation, energy consumption in households vary substantially, which is a reflection of their varied behaviors. If we plot the raw data for all of them, it is very difficult (if not impossible) to get useful insights of their behavior.</w:t>
      </w:r>
      <w:r>
        <w:t xml:space="preserve"> </w:t>
      </w:r>
      <w:r>
        <w:t xml:space="preserve">The motivation for my work stems from the desire to provide methods to better understand these kinds of large quantities of time series data that are observed more than once per year.</w:t>
      </w:r>
    </w:p>
    <w:p>
      <w:pPr>
        <w:pStyle w:val="Heading2"/>
      </w:pPr>
      <w:bookmarkStart w:id="23" w:name="slide-3"/>
      <w:r>
        <w:t xml:space="preserve">Slide 3</w:t>
      </w:r>
      <w:bookmarkEnd w:id="23"/>
    </w:p>
    <w:p>
      <w:pPr>
        <w:pStyle w:val="FirstParagraph"/>
      </w:pPr>
      <w:r>
        <w:t xml:space="preserve">My research proposes that deconstructing a time index into time granularities can assist in exploration and automated analysis of large temporal data sets. They are different classes of time deconstructions. Linear time granularities respect the linear progression of time like hours, days and weeks and generally represented through a line plot going from past to future. Cyclic granularities like hour of the day or day of the week could be used to explore periodicities in the data. These granularities can be considered to be categorical variables (ordered or unordered) which induces a grouping of the observations, that is, going from linear to cyclic we have a scenario where we have multiple observations for each category. Hence, there is a need to summarize them.</w:t>
      </w:r>
    </w:p>
    <w:p>
      <w:pPr>
        <w:pStyle w:val="Heading2"/>
      </w:pPr>
      <w:bookmarkStart w:id="24" w:name="slide-4"/>
      <w:r>
        <w:t xml:space="preserve">Slide 4</w:t>
      </w:r>
      <w:bookmarkEnd w:id="24"/>
    </w:p>
    <w:p>
      <w:pPr>
        <w:pStyle w:val="FirstParagraph"/>
      </w:pPr>
      <w:r>
        <w:t xml:space="preserve">In these cases, it is common to see aggregates of a numeric response variable or just one particular summary statistic. But studying aggregates hides the distributions of the response variable at finer temporal scales. Hence we decided to look at the probability distribution to summarize these multiple observations.</w:t>
      </w:r>
    </w:p>
    <w:p>
      <w:pPr>
        <w:pStyle w:val="BodyText"/>
      </w:pPr>
      <w:r>
        <w:t xml:space="preserve">There are several possibilities at your disposal for visualizing statistical distributions. Traditional methods of plotting distributions include box, violin or ridge plots, whereas more recent forms of visuslizing distributions include Letter values, quantiles or highest density region plots.</w:t>
      </w:r>
    </w:p>
    <w:p>
      <w:pPr>
        <w:pStyle w:val="Heading2"/>
      </w:pPr>
      <w:bookmarkStart w:id="25" w:name="slide-5"/>
      <w:r>
        <w:t xml:space="preserve">Slide 5</w:t>
      </w:r>
      <w:bookmarkEnd w:id="25"/>
    </w:p>
    <w:p>
      <w:pPr>
        <w:pStyle w:val="FirstParagraph"/>
      </w:pPr>
      <w:r>
        <w:t xml:space="preserve">The data structure considered for our visualisation is a tsibble. A tsibble consists of an index, key and measured variables. An index is a variable with inherent ordering from past to present and a key is a set of variables that define observational units over time. In a tsibble, each observation (row) is uniquely identified by index and key. Since, any cyclic granularity is a function of the index set, we extend the tsibble to obtain columns corresponding to cyclic granularities. And why are we interested to look at multiple cyclic granularities? Exploratory Data analysis developed by</w:t>
      </w:r>
      <w:r>
        <w:t xml:space="preserve"> </w:t>
      </w:r>
      <w:r>
        <w:rPr>
          <w:b/>
        </w:rPr>
        <w:t xml:space="preserve">John Tukey</w:t>
      </w:r>
      <w:r>
        <w:t xml:space="preserve"> </w:t>
      </w:r>
      <w:r>
        <w:t xml:space="preserve">encourages us to look at data from multiple perspectives and looking at multiple cyclic granularities would help us do that. More than 2 cyclic granularities could be visualised, but we focus on visualizing two cyclic granularities (</w:t>
      </w:r>
      <m:oMath>
        <m:sSub>
          <m:e>
            <m:r>
              <m:t>C</m:t>
            </m:r>
          </m:e>
          <m:sub>
            <m:r>
              <m:t>i</m:t>
            </m:r>
          </m:sub>
        </m:sSub>
      </m:oMath>
      <w:r>
        <w:t xml:space="preserve"> </w:t>
      </w:r>
      <w:r>
        <w:t xml:space="preserve">and</w:t>
      </w:r>
      <w:r>
        <w:t xml:space="preserve"> </w:t>
      </w:r>
      <m:oMath>
        <m:sSub>
          <m:e>
            <m:r>
              <m:t>C</m:t>
            </m:r>
          </m:e>
          <m:sub>
            <m:r>
              <m:t>j</m:t>
            </m:r>
          </m:sub>
        </m:sSub>
      </m:oMath>
      <w:r>
        <w:t xml:space="preserve">) by representating it in a 2D space, where C_i maps to categories</w:t>
      </w:r>
      <w:r>
        <w:t xml:space="preserve"> </w:t>
      </w:r>
      <m:oMath>
        <m:r>
          <m:t>{</m:t>
        </m:r>
        <m:sSub>
          <m:e>
            <m:r>
              <m:t>A</m:t>
            </m:r>
          </m:e>
          <m:sub>
            <m:r>
              <m:t>1</m:t>
            </m:r>
          </m:sub>
        </m:sSub>
        <m:r>
          <m:t>,</m:t>
        </m:r>
        <m:sSub>
          <m:e>
            <m:r>
              <m:t>A</m:t>
            </m:r>
          </m:e>
          <m:sub>
            <m:r>
              <m:t>2</m:t>
            </m:r>
          </m:sub>
        </m:sSub>
        <m:r>
          <m:t>,</m:t>
        </m:r>
        <m:r>
          <m:t>…</m:t>
        </m:r>
        <m:r>
          <m:t>,</m:t>
        </m:r>
        <m:sSub>
          <m:e>
            <m:r>
              <m:t>A</m:t>
            </m:r>
          </m:e>
          <m:sub>
            <m:r>
              <m:t>K</m:t>
            </m:r>
          </m:sub>
        </m:sSub>
        <m:r>
          <m:t>}</m:t>
        </m:r>
      </m:oMath>
      <w:r>
        <w:t xml:space="preserve"> </w:t>
      </w:r>
      <w:r>
        <w:t xml:space="preserve">and C_j maps to categories</w:t>
      </w:r>
      <w:r>
        <w:t xml:space="preserve"> </w:t>
      </w:r>
      <m:oMath>
        <m:r>
          <m:t>{</m:t>
        </m:r>
        <m:sSub>
          <m:e>
            <m:r>
              <m:t>B</m:t>
            </m:r>
          </m:e>
          <m:sub>
            <m:r>
              <m:t>1</m:t>
            </m:r>
          </m:sub>
        </m:sSub>
        <m:r>
          <m:t>,</m:t>
        </m:r>
        <m:sSub>
          <m:e>
            <m:r>
              <m:t>B</m:t>
            </m:r>
          </m:e>
          <m:sub>
            <m:r>
              <m:t>2</m:t>
            </m:r>
          </m:sub>
        </m:sSub>
        <m:r>
          <m:t>,</m:t>
        </m:r>
        <m:r>
          <m:t>…</m:t>
        </m:r>
        <m:r>
          <m:t>,</m:t>
        </m:r>
        <m:sSub>
          <m:e>
            <m:r>
              <m:t>B</m:t>
            </m:r>
          </m:e>
          <m:sub>
            <m:r>
              <m:t>L</m:t>
            </m:r>
          </m:sub>
        </m:sSub>
        <m:r>
          <m:t>}</m:t>
        </m:r>
      </m:oMath>
    </w:p>
    <w:p>
      <w:pPr>
        <w:pStyle w:val="BodyText"/>
      </w:pPr>
      <w:r>
        <w:t xml:space="preserve">For relating data space to the graphic space through layered grammar of graphics using one numeric response variable and two cyclic granularities, we employ the facet-ing approach. is a mechanism for splitting the data into subsets, then plotting each subset in a different panel. We map</w:t>
      </w:r>
      <w:r>
        <w:t xml:space="preserve"> </w:t>
      </w:r>
      <m:oMath>
        <m:sSub>
          <m:e>
            <m:r>
              <m:t>C</m:t>
            </m:r>
          </m:e>
          <m:sub>
            <m:r>
              <m:t>i</m:t>
            </m:r>
          </m:sub>
        </m:sSub>
      </m:oMath>
      <w:r>
        <w:t xml:space="preserve"> </w:t>
      </w:r>
      <w:r>
        <w:t xml:space="preserve">to facets,</w:t>
      </w:r>
      <w:r>
        <w:t xml:space="preserve"> </w:t>
      </w:r>
      <m:oMath>
        <m:sSub>
          <m:e>
            <m:r>
              <m:t>C</m:t>
            </m:r>
          </m:e>
          <m:sub>
            <m:r>
              <m:t>j</m:t>
            </m:r>
          </m:sub>
        </m:sSub>
      </m:oMath>
      <w:r>
        <w:t xml:space="preserve"> </w:t>
      </w:r>
      <w:r>
        <w:t xml:space="preserve">to the x-axis and the response variable to the y-axis.</w:t>
      </w:r>
    </w:p>
    <w:p>
      <w:pPr>
        <w:pStyle w:val="BodyText"/>
      </w:pPr>
      <w:r>
        <w:t xml:space="preserve">Now suppose we have</w:t>
      </w:r>
      <w:r>
        <w:t xml:space="preserve"> </w:t>
      </w:r>
      <m:oMath>
        <m:sSub>
          <m:e>
            <m:r>
              <m:t>N</m:t>
            </m:r>
          </m:e>
          <m:sub>
            <m:r>
              <m:t>C</m:t>
            </m:r>
          </m:sub>
        </m:sSub>
      </m:oMath>
      <w:r>
        <w:t xml:space="preserve"> </w:t>
      </w:r>
      <w:r>
        <w:t xml:space="preserve">cyclic granularities, the number of displays that you can make becomes too large to conume too soon. Just with 10 cyclic granularities, we will have 10 permutation 2, which is 90 displays to look and analyze. Without a systematic framework, it is difficult for an analyst to do that. So we will essentially try to do that and employ a strategy which will help us to screen only those visualizations which are interesting.</w:t>
      </w:r>
    </w:p>
    <w:p>
      <w:pPr>
        <w:pStyle w:val="Heading2"/>
      </w:pPr>
      <w:bookmarkStart w:id="26" w:name="slide-6"/>
      <w:r>
        <w:t xml:space="preserve">Slide 6</w:t>
      </w:r>
      <w:bookmarkEnd w:id="26"/>
    </w:p>
    <w:p>
      <w:pPr>
        <w:pStyle w:val="FirstParagraph"/>
      </w:pPr>
      <w:r>
        <w:t xml:space="preserve">Now, to start with not all pairs are compatible with each other for exploration. Take the first one as an example,here facets show month of the year and x-axis show day of the year - we are unable to compare the distribution across facets because many of their combinations are missing. This is also intuitive because the first day of the month can never be the 2nd or 3rd day of the year. These pairs which lead to structurally empty combinations are called clashes. The pairs that are compatible with each other are called harmonies. For the second plot, every day of the week corresponds to every month of the year and vice versa. Hence there are no empty combinations. Still for large</w:t>
      </w:r>
      <w:r>
        <w:t xml:space="preserve"> </w:t>
      </w:r>
      <m:oMath>
        <m:sSub>
          <m:e>
            <m:r>
              <m:t>N</m:t>
            </m:r>
          </m:e>
          <m:sub>
            <m:r>
              <m:t>C</m:t>
            </m:r>
          </m:sub>
        </m:sSub>
      </m:oMath>
      <w:r>
        <w:t xml:space="preserve">, there could possibly be many harmonies. Can we rank them in order of importance? Can we scrape some harmonies for which variations in the response variable is not significant enough?</w:t>
      </w:r>
    </w:p>
    <w:p>
      <w:pPr>
        <w:pStyle w:val="Heading2"/>
      </w:pPr>
      <w:bookmarkStart w:id="27" w:name="slide-7"/>
      <w:r>
        <w:t xml:space="preserve">Slide 7</w:t>
      </w:r>
      <w:bookmarkEnd w:id="27"/>
    </w:p>
    <w:p>
      <w:pPr>
        <w:pStyle w:val="FirstParagraph"/>
      </w:pPr>
      <w:r>
        <w:t xml:space="preserve">So let’s see if we can do that. So both of these graphs display harmonies. But one of them capture more variation of the response variable than the other. Gestalt theory suggests that when items are placed in close proximity, people assume that they are in the same group because they are close to one another and apart from other groups. Hence, given our data structure, it is easier for our eyes to capture differences between categories within a group rather than categories across groups. Displays that capture more variation within different categories in the same group would deem to be important to our eyes. Hence, the idea here is to efficiently compute a statistical measure that capture the within and between group variation and remove all harmony pairs for which variation is not significant.</w:t>
      </w:r>
    </w:p>
    <w:p>
      <w:pPr>
        <w:pStyle w:val="Heading2"/>
      </w:pPr>
      <w:bookmarkStart w:id="28" w:name="slide-8"/>
      <w:r>
        <w:t xml:space="preserve">Slide 8</w:t>
      </w:r>
      <w:bookmarkEnd w:id="28"/>
    </w:p>
    <w:p>
      <w:pPr>
        <w:pStyle w:val="FirstParagraph"/>
      </w:pPr>
      <w:r>
        <w:t xml:space="preserve">Also, we should rank a harmony pair higher if this variation between different levels of the x-axis variable is higher on an average across all levels of facet variables. So here you can see that the variation across different category of the x-axis is higher for (b) than for (a), and hence (b) should be ranked higher. The measure we obtain is called Median Maximum Pairwise distances (MMPD) which used Jenson-Shanon disvergences for measuring distance between distributions and uses the Fisher–Tippett–Gnedenko theorem for normalising for the number of categories.</w:t>
      </w:r>
    </w:p>
    <w:p>
      <w:pPr>
        <w:pStyle w:val="Heading2"/>
      </w:pPr>
      <w:bookmarkStart w:id="29" w:name="slide-9"/>
      <w:r>
        <w:t xml:space="preserve">Slide 9</w:t>
      </w:r>
      <w:bookmarkEnd w:id="29"/>
    </w:p>
    <w:p>
      <w:pPr>
        <w:pStyle w:val="FirstParagraph"/>
      </w:pPr>
      <w:r>
        <w:t xml:space="preserve">All the ideas presented have been implemented in the open-source R package</w:t>
      </w:r>
      <w:r>
        <w:t xml:space="preserve"> </w:t>
      </w:r>
      <w:r>
        <w:rPr>
          <w:rStyle w:val="VerbatimChar"/>
        </w:rPr>
        <w:t xml:space="preserve">gravitas</w:t>
      </w:r>
      <w:r>
        <w:t xml:space="preserve">. I will post the links at the end again.</w:t>
      </w:r>
    </w:p>
    <w:p>
      <w:pPr>
        <w:pStyle w:val="BodyText"/>
      </w:pPr>
      <w:r>
        <w:t xml:space="preserve">Through the package, we provide methods to create all possible granularities for a time index, determine feasibility of examining them together called harmony or clash, refining the exploration by looking at only significantly different pairs and recommending appropriate distribution display.</w:t>
      </w:r>
    </w:p>
    <w:p>
      <w:pPr>
        <w:pStyle w:val="Heading2"/>
      </w:pPr>
      <w:bookmarkStart w:id="30" w:name="slide-10"/>
      <w:r>
        <w:t xml:space="preserve">Slide 10</w:t>
      </w:r>
      <w:bookmarkEnd w:id="30"/>
    </w:p>
    <w:p>
      <w:pPr>
        <w:pStyle w:val="Heading2"/>
      </w:pPr>
      <w:bookmarkStart w:id="31" w:name="slide-11-12-and-13"/>
      <w:r>
        <w:t xml:space="preserve">Slide 11, 12 and 13</w:t>
      </w:r>
      <w:bookmarkEnd w:id="31"/>
    </w:p>
    <w:p>
      <w:pPr>
        <w:pStyle w:val="FirstParagraph"/>
      </w:pPr>
      <w:r>
        <w:t xml:space="preserve">So we started with</w:t>
      </w:r>
      <w:r>
        <w:t xml:space="preserve"> </w:t>
      </w:r>
      <m:oMath>
        <m:r>
          <m:t>7</m:t>
        </m:r>
      </m:oMath>
      <w:r>
        <w:t xml:space="preserve"> </w:t>
      </w:r>
      <w:r>
        <w:t xml:space="preserve">cyclic granularities and hence</w:t>
      </w:r>
      <w:r>
        <w:t xml:space="preserve"> </w:t>
      </w:r>
      <m:oMath>
        <m:sSup>
          <m:e>
            <m:r>
              <m:t>​</m:t>
            </m:r>
          </m:e>
          <m:sup>
            <m:r>
              <m:t>7</m:t>
            </m:r>
          </m:sup>
        </m:sSup>
        <m:sSub>
          <m:e>
            <m:r>
              <m:t>P</m:t>
            </m:r>
          </m:e>
          <m:sub>
            <m:r>
              <m:t>2</m:t>
            </m:r>
          </m:sub>
        </m:sSub>
      </m:oMath>
      <w:r>
        <w:t xml:space="preserve"> </w:t>
      </w:r>
      <w:r>
        <w:t xml:space="preserve">=</w:t>
      </w:r>
      <w:r>
        <w:t xml:space="preserve"> </w:t>
      </w:r>
      <m:oMath>
        <m:r>
          <m:t>42</m:t>
        </m:r>
      </m:oMath>
      <w:r>
        <w:t xml:space="preserve"> </w:t>
      </w:r>
      <w:r>
        <w:t xml:space="preserve">displays, reduced to 16 displays using the concept of harmonies and clashes and then reduce it futher to</w:t>
      </w:r>
      <w:r>
        <w:t xml:space="preserve"> </w:t>
      </w:r>
      <m:oMath>
        <m:r>
          <m:t>6</m:t>
        </m:r>
      </m:oMath>
      <w:r>
        <w:t xml:space="preserve"> </w:t>
      </w:r>
      <w:r>
        <w:t xml:space="preserve">using the threshold - moreover ranked them in order of importance. Now 6 displays are much easier to analyze than 42, isn’t it?</w:t>
      </w:r>
    </w:p>
    <w:p>
      <w:pPr>
        <w:pStyle w:val="Heading1"/>
      </w:pPr>
      <w:bookmarkStart w:id="32" w:name="slide-14"/>
      <w:r>
        <w:t xml:space="preserve">Slide 14</w:t>
      </w:r>
      <w:bookmarkEnd w:id="32"/>
    </w:p>
    <w:p>
      <w:pPr>
        <w:pStyle w:val="FirstParagraph"/>
      </w:pPr>
      <w:r>
        <w:t xml:space="preserve">Thank you all listening. Please visit the github repository for more information on the package.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ayanigupta-ows2020.netlify.app/" TargetMode="External" /></Relationships>
</file>

<file path=word/_rels/footnotes.xml.rels><?xml version="1.0" encoding="UTF-8"?>
<Relationships xmlns="http://schemas.openxmlformats.org/package/2006/relationships"><Relationship Type="http://schemas.openxmlformats.org/officeDocument/2006/relationships/hyperlink" Id="rId21" Target="https://sayanigupta-ows2020.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2020-08-09T15:16:06Z</dcterms:created>
  <dcterms:modified xsi:type="dcterms:W3CDTF">2020-08-09T15:16:06Z</dcterms:modified>
</cp:coreProperties>
</file>