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Calibri" w:cs="Calibri" w:eastAsia="Calibri" w:hAnsi="Calibri"/>
          <w:b/>
          <w:bCs/>
          <w:color w:val="1F3864"/>
          <w:sz w:val="40"/>
          <w:szCs w:val="40"/>
        </w:rPr>
        <w:t xml:space="preserve">BRAINWARE UNIVERSITY</w:t>
      </w:r>
    </w:p>
    <w:p>
      <w:pPr>
        <w:spacing w:after="200"/>
        <w:jc w:val="center"/>
      </w:pPr>
      <w:r>
        <w:rPr>
          <w:rFonts w:ascii="Calibri" w:cs="Calibri" w:eastAsia="Calibri" w:hAnsi="Calibri"/>
          <w:b/>
          <w:bCs/>
          <w:color w:val="1F4E79"/>
          <w:sz w:val="26"/>
          <w:szCs w:val="26"/>
        </w:rPr>
        <w:t xml:space="preserve">ML PROJECT-BASED LEARNING REPORT (WEEK 4)</w:t>
      </w:r>
    </w:p>
    <w:p>
      <w:pPr>
        <w:pBdr>
          <w:bottom w:val="single" w:color="2E74B5" w:sz="8" w:space="4"/>
        </w:pBdr>
        <w:spacing w:after="200"/>
      </w:pPr>
    </w:p>
    <w:p>
      <w:pPr>
        <w:pStyle w:val="Heading1"/>
        <w:pBdr>
          <w:bottom w:val="single" w:color="2E74B5" w:sz="4" w:space="2"/>
        </w:pBdr>
        <w:spacing w:after="150" w:before="300"/>
      </w:pPr>
      <w:r>
        <w:rPr>
          <w:rFonts w:ascii="Calibri" w:cs="Calibri" w:eastAsia="Calibri" w:hAnsi="Calibri"/>
          <w:b/>
          <w:bCs/>
          <w:color w:val="1F4E79"/>
          <w:sz w:val="27"/>
          <w:szCs w:val="27"/>
        </w:rPr>
        <w:t xml:space="preserve">1. Basic Information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tcBorders>
              <w:top w:val="single" w:color="9DB6CE" w:sz="4"/>
              <w:left w:val="single" w:color="9DB6CE" w:sz="4"/>
              <w:bottom w:val="single" w:color="9DB6CE" w:sz="4"/>
              <w:right w:val="single" w:color="9DB6CE" w:sz="4"/>
            </w:tcBorders>
            <w:shd w:fill="DCE6F1" w:color="auto" w:val="clear"/>
            <w:tcMar>
              <w:top w:type="dxa" w:w="100"/>
              <w:left w:type="dxa" w:w="120"/>
              <w:bottom w:type="dxa" w:w="100"/>
              <w:right w:type="dxa" w:w="120"/>
            </w:tcMar>
            <w:vAlign w:val="center"/>
          </w:tcPr>
          <w:p>
            <w:r>
              <w:rPr>
                <w:rFonts w:ascii="Calibri" w:cs="Calibri" w:eastAsia="Calibri" w:hAnsi="Calibri"/>
                <w:b/>
                <w:bCs/>
                <w:color w:val="1F3864"/>
                <w:sz w:val="21"/>
                <w:szCs w:val="21"/>
              </w:rPr>
              <w:t xml:space="preserve">Title of the Project:</w:t>
            </w:r>
          </w:p>
        </w:tc>
        <w:tc>
          <w:tcPr>
            <w:tcW w:type="dxa" w:w="6800"/>
            <w:tcBorders>
              <w:top w:val="single" w:color="9DB6CE" w:sz="4"/>
              <w:left w:val="single" w:color="9DB6CE" w:sz="4"/>
              <w:bottom w:val="single" w:color="9DB6CE" w:sz="4"/>
              <w:right w:val="single" w:color="9DB6CE" w:sz="4"/>
            </w:tcBorders>
            <w:tcMar>
              <w:top w:type="dxa" w:w="100"/>
              <w:left w:type="dxa" w:w="120"/>
              <w:bottom w:type="dxa" w:w="100"/>
              <w:right w:type="dxa" w:w="120"/>
            </w:tcMar>
            <w:vAlign w:val="center"/>
          </w:tcPr>
          <w:p>
            <w:pPr>
              <w:spacing w:after="0"/>
            </w:pPr>
            <w:r>
              <w:rPr>
                <w:rFonts w:ascii="Calibri" w:cs="Calibri" w:eastAsia="Calibri" w:hAnsi="Calibri"/>
                <w:sz w:val="21"/>
                <w:szCs w:val="21"/>
              </w:rPr>
              <w:t xml:space="preserve">Email Validation System</w:t>
            </w:r>
          </w:p>
        </w:tc>
      </w:tr>
      <w:tr>
        <w:tc>
          <w:tcPr>
            <w:tcW w:type="dxa" w:w="2600"/>
            <w:tcBorders>
              <w:top w:val="single" w:color="9DB6CE" w:sz="4"/>
              <w:left w:val="single" w:color="9DB6CE" w:sz="4"/>
              <w:bottom w:val="single" w:color="9DB6CE" w:sz="4"/>
              <w:right w:val="single" w:color="9DB6CE" w:sz="4"/>
            </w:tcBorders>
            <w:shd w:fill="DCE6F1" w:color="auto" w:val="clear"/>
            <w:tcMar>
              <w:top w:type="dxa" w:w="100"/>
              <w:left w:type="dxa" w:w="120"/>
              <w:bottom w:type="dxa" w:w="100"/>
              <w:right w:type="dxa" w:w="120"/>
            </w:tcMar>
            <w:vAlign w:val="center"/>
          </w:tcPr>
          <w:p>
            <w:r>
              <w:rPr>
                <w:rFonts w:ascii="Calibri" w:cs="Calibri" w:eastAsia="Calibri" w:hAnsi="Calibri"/>
                <w:b/>
                <w:bCs/>
                <w:color w:val="1F3864"/>
                <w:sz w:val="21"/>
                <w:szCs w:val="21"/>
              </w:rPr>
              <w:t xml:space="preserve">Name(s) of Student(s):</w:t>
            </w:r>
          </w:p>
        </w:tc>
        <w:tc>
          <w:tcPr>
            <w:tcW w:type="dxa" w:w="6800"/>
            <w:tcBorders>
              <w:top w:val="single" w:color="9DB6CE" w:sz="4"/>
              <w:left w:val="single" w:color="9DB6CE" w:sz="4"/>
              <w:bottom w:val="single" w:color="9DB6CE" w:sz="4"/>
              <w:right w:val="single" w:color="9DB6CE" w:sz="4"/>
            </w:tcBorders>
            <w:tcMar>
              <w:top w:type="dxa" w:w="100"/>
              <w:left w:type="dxa" w:w="120"/>
              <w:bottom w:type="dxa" w:w="100"/>
              <w:right w:type="dxa" w:w="120"/>
            </w:tcMar>
            <w:vAlign w:val="center"/>
          </w:tcPr>
          <w:p>
            <w:pPr>
              <w:spacing w:after="40"/>
            </w:pPr>
            <w:r>
              <w:rPr>
                <w:rFonts w:ascii="Calibri" w:cs="Calibri" w:eastAsia="Calibri" w:hAnsi="Calibri"/>
                <w:sz w:val="21"/>
                <w:szCs w:val="21"/>
              </w:rPr>
              <w:t xml:space="preserve">Student 1 (student1_id)</w:t>
            </w:r>
          </w:p>
          <w:p>
            <w:pPr>
              <w:spacing w:after="40"/>
            </w:pPr>
            <w:r>
              <w:rPr>
                <w:rFonts w:ascii="Calibri" w:cs="Calibri" w:eastAsia="Calibri" w:hAnsi="Calibri"/>
                <w:sz w:val="21"/>
                <w:szCs w:val="21"/>
              </w:rPr>
              <w:t xml:space="preserve">Student 2 (student2_id)</w:t>
            </w:r>
          </w:p>
          <w:p>
            <w:pPr>
              <w:spacing w:after="40"/>
            </w:pPr>
            <w:r>
              <w:rPr>
                <w:rFonts w:ascii="Calibri" w:cs="Calibri" w:eastAsia="Calibri" w:hAnsi="Calibri"/>
                <w:sz w:val="21"/>
                <w:szCs w:val="21"/>
              </w:rPr>
              <w:t xml:space="preserve">Student 3 (student3_id)</w:t>
            </w:r>
          </w:p>
          <w:p>
            <w:pPr>
              <w:spacing w:after="40"/>
            </w:pPr>
            <w:r>
              <w:rPr>
                <w:rFonts w:ascii="Calibri" w:cs="Calibri" w:eastAsia="Calibri" w:hAnsi="Calibri"/>
                <w:sz w:val="21"/>
                <w:szCs w:val="21"/>
              </w:rPr>
              <w:t xml:space="preserve">Student 4 (student4_id)</w:t>
            </w:r>
          </w:p>
          <w:p>
            <w:pPr>
              <w:spacing w:after="0"/>
            </w:pPr>
            <w:r>
              <w:rPr>
                <w:rFonts w:ascii="Calibri" w:cs="Calibri" w:eastAsia="Calibri" w:hAnsi="Calibri"/>
                <w:sz w:val="21"/>
                <w:szCs w:val="21"/>
              </w:rPr>
              <w:t xml:space="preserve">Student 5 (student5_id)</w:t>
            </w:r>
          </w:p>
        </w:tc>
      </w:tr>
      <w:tr>
        <w:tc>
          <w:tcPr>
            <w:tcW w:type="dxa" w:w="2600"/>
            <w:tcBorders>
              <w:top w:val="single" w:color="9DB6CE" w:sz="4"/>
              <w:left w:val="single" w:color="9DB6CE" w:sz="4"/>
              <w:bottom w:val="single" w:color="9DB6CE" w:sz="4"/>
              <w:right w:val="single" w:color="9DB6CE" w:sz="4"/>
            </w:tcBorders>
            <w:shd w:fill="DCE6F1" w:color="auto" w:val="clear"/>
            <w:tcMar>
              <w:top w:type="dxa" w:w="100"/>
              <w:left w:type="dxa" w:w="120"/>
              <w:bottom w:type="dxa" w:w="100"/>
              <w:right w:type="dxa" w:w="120"/>
            </w:tcMar>
            <w:vAlign w:val="center"/>
          </w:tcPr>
          <w:p>
            <w:r>
              <w:rPr>
                <w:rFonts w:ascii="Calibri" w:cs="Calibri" w:eastAsia="Calibri" w:hAnsi="Calibri"/>
                <w:b/>
                <w:bCs/>
                <w:color w:val="1F3864"/>
                <w:sz w:val="21"/>
                <w:szCs w:val="21"/>
              </w:rPr>
              <w:t xml:space="preserve">Programme &amp; Semester:</w:t>
            </w:r>
          </w:p>
        </w:tc>
        <w:tc>
          <w:tcPr>
            <w:tcW w:type="dxa" w:w="6800"/>
            <w:tcBorders>
              <w:top w:val="single" w:color="9DB6CE" w:sz="4"/>
              <w:left w:val="single" w:color="9DB6CE" w:sz="4"/>
              <w:bottom w:val="single" w:color="9DB6CE" w:sz="4"/>
              <w:right w:val="single" w:color="9DB6CE" w:sz="4"/>
            </w:tcBorders>
            <w:tcMar>
              <w:top w:type="dxa" w:w="100"/>
              <w:left w:type="dxa" w:w="120"/>
              <w:bottom w:type="dxa" w:w="100"/>
              <w:right w:type="dxa" w:w="120"/>
            </w:tcMar>
            <w:vAlign w:val="center"/>
          </w:tcPr>
          <w:p>
            <w:pPr>
              <w:spacing w:after="0"/>
            </w:pPr>
            <w:r>
              <w:rPr>
                <w:rFonts w:ascii="Calibri" w:cs="Calibri" w:eastAsia="Calibri" w:hAnsi="Calibri"/>
                <w:sz w:val="21"/>
                <w:szCs w:val="21"/>
              </w:rPr>
              <w:t xml:space="preserve">B.Tech CSE &amp; 6th Semester</w:t>
            </w:r>
          </w:p>
        </w:tc>
      </w:tr>
      <w:tr>
        <w:tc>
          <w:tcPr>
            <w:tcW w:type="dxa" w:w="2600"/>
            <w:tcBorders>
              <w:top w:val="single" w:color="9DB6CE" w:sz="4"/>
              <w:left w:val="single" w:color="9DB6CE" w:sz="4"/>
              <w:bottom w:val="single" w:color="9DB6CE" w:sz="4"/>
              <w:right w:val="single" w:color="9DB6CE" w:sz="4"/>
            </w:tcBorders>
            <w:shd w:fill="DCE6F1" w:color="auto" w:val="clear"/>
            <w:tcMar>
              <w:top w:type="dxa" w:w="100"/>
              <w:left w:type="dxa" w:w="120"/>
              <w:bottom w:type="dxa" w:w="100"/>
              <w:right w:type="dxa" w:w="120"/>
            </w:tcMar>
            <w:vAlign w:val="center"/>
          </w:tcPr>
          <w:p>
            <w:r>
              <w:rPr>
                <w:rFonts w:ascii="Calibri" w:cs="Calibri" w:eastAsia="Calibri" w:hAnsi="Calibri"/>
                <w:b/>
                <w:bCs/>
                <w:color w:val="1F3864"/>
                <w:sz w:val="21"/>
                <w:szCs w:val="21"/>
              </w:rPr>
              <w:t xml:space="preserve">Course Name &amp; Code:</w:t>
            </w:r>
          </w:p>
        </w:tc>
        <w:tc>
          <w:tcPr>
            <w:tcW w:type="dxa" w:w="6800"/>
            <w:tcBorders>
              <w:top w:val="single" w:color="9DB6CE" w:sz="4"/>
              <w:left w:val="single" w:color="9DB6CE" w:sz="4"/>
              <w:bottom w:val="single" w:color="9DB6CE" w:sz="4"/>
              <w:right w:val="single" w:color="9DB6CE" w:sz="4"/>
            </w:tcBorders>
            <w:tcMar>
              <w:top w:type="dxa" w:w="100"/>
              <w:left w:type="dxa" w:w="120"/>
              <w:bottom w:type="dxa" w:w="100"/>
              <w:right w:type="dxa" w:w="120"/>
            </w:tcMar>
            <w:vAlign w:val="center"/>
          </w:tcPr>
          <w:p>
            <w:pPr>
              <w:spacing w:after="0"/>
            </w:pPr>
            <w:r>
              <w:rPr>
                <w:rFonts w:ascii="Calibri" w:cs="Calibri" w:eastAsia="Calibri" w:hAnsi="Calibri"/>
                <w:sz w:val="21"/>
                <w:szCs w:val="21"/>
              </w:rPr>
              <w:t xml:space="preserve">Machine Learning Lab &amp; PCC-CSG691A</w:t>
            </w:r>
          </w:p>
        </w:tc>
      </w:tr>
      <w:tr>
        <w:tc>
          <w:tcPr>
            <w:tcW w:type="dxa" w:w="2600"/>
            <w:tcBorders>
              <w:top w:val="single" w:color="9DB6CE" w:sz="4"/>
              <w:left w:val="single" w:color="9DB6CE" w:sz="4"/>
              <w:bottom w:val="single" w:color="9DB6CE" w:sz="4"/>
              <w:right w:val="single" w:color="9DB6CE" w:sz="4"/>
            </w:tcBorders>
            <w:shd w:fill="DCE6F1" w:color="auto" w:val="clear"/>
            <w:tcMar>
              <w:top w:type="dxa" w:w="100"/>
              <w:left w:type="dxa" w:w="120"/>
              <w:bottom w:type="dxa" w:w="100"/>
              <w:right w:type="dxa" w:w="120"/>
            </w:tcMar>
            <w:vAlign w:val="center"/>
          </w:tcPr>
          <w:p>
            <w:r>
              <w:rPr>
                <w:rFonts w:ascii="Calibri" w:cs="Calibri" w:eastAsia="Calibri" w:hAnsi="Calibri"/>
                <w:b/>
                <w:bCs/>
                <w:color w:val="1F3864"/>
                <w:sz w:val="21"/>
                <w:szCs w:val="21"/>
              </w:rPr>
              <w:t xml:space="preserve">Name of the Guide/Supervisor:</w:t>
            </w:r>
          </w:p>
        </w:tc>
        <w:tc>
          <w:tcPr>
            <w:tcW w:type="dxa" w:w="6800"/>
            <w:tcBorders>
              <w:top w:val="single" w:color="9DB6CE" w:sz="4"/>
              <w:left w:val="single" w:color="9DB6CE" w:sz="4"/>
              <w:bottom w:val="single" w:color="9DB6CE" w:sz="4"/>
              <w:right w:val="single" w:color="9DB6CE" w:sz="4"/>
            </w:tcBorders>
            <w:tcMar>
              <w:top w:type="dxa" w:w="100"/>
              <w:left w:type="dxa" w:w="120"/>
              <w:bottom w:type="dxa" w:w="100"/>
              <w:right w:type="dxa" w:w="120"/>
            </w:tcMar>
            <w:vAlign w:val="center"/>
          </w:tcPr>
          <w:p>
            <w:pPr>
              <w:spacing w:after="40"/>
            </w:pPr>
            <w:r>
              <w:rPr>
                <w:rFonts w:ascii="Calibri" w:cs="Calibri" w:eastAsia="Calibri" w:hAnsi="Calibri"/>
                <w:sz w:val="21"/>
                <w:szCs w:val="21"/>
              </w:rPr>
              <w:t xml:space="preserve">Guide 1</w:t>
            </w:r>
          </w:p>
          <w:p>
            <w:pPr>
              <w:spacing w:after="0"/>
            </w:pPr>
            <w:r>
              <w:rPr>
                <w:rFonts w:ascii="Calibri" w:cs="Calibri" w:eastAsia="Calibri" w:hAnsi="Calibri"/>
                <w:sz w:val="21"/>
                <w:szCs w:val="21"/>
              </w:rPr>
              <w:t xml:space="preserve">Guide 2</w:t>
            </w:r>
          </w:p>
        </w:tc>
      </w:tr>
    </w:tbl>
    <w:p>
      <w:pPr>
        <w:pStyle w:val="Heading1"/>
        <w:pBdr>
          <w:bottom w:val="single" w:color="2E74B5" w:sz="4" w:space="2"/>
        </w:pBdr>
        <w:spacing w:after="150" w:before="300"/>
      </w:pPr>
      <w:r>
        <w:rPr>
          <w:rFonts w:ascii="Calibri" w:cs="Calibri" w:eastAsia="Calibri" w:hAnsi="Calibri"/>
          <w:b/>
          <w:bCs/>
          <w:color w:val="1F4E79"/>
          <w:sz w:val="27"/>
          <w:szCs w:val="27"/>
        </w:rPr>
        <w:t xml:space="preserve">2. Introduction and Background</w:t>
      </w:r>
    </w:p>
    <w:p>
      <w:pPr>
        <w:spacing w:after="150" w:line="276"/>
      </w:pPr>
      <w:r>
        <w:rPr>
          <w:rFonts w:ascii="Calibri" w:cs="Calibri" w:eastAsia="Calibri" w:hAnsi="Calibri"/>
          <w:sz w:val="22"/>
          <w:szCs w:val="22"/>
        </w:rPr>
        <w:t xml:space="preserve">Validating user-submitted data is a fundamental requirement in almost every software system, and email addresses are among the most frequently validated fields during account registration and communication workflows. This week's laboratory work focuses on developing a console-based Email Validation System in Python that checks a candidate email address against a series of structural and formatting rules and reports a clear, specific reason whenever validation fails.</w:t>
      </w:r>
    </w:p>
    <w:p>
      <w:pPr>
        <w:spacing w:after="150" w:line="276"/>
      </w:pPr>
      <w:r>
        <w:rPr>
          <w:rFonts w:ascii="Calibri" w:cs="Calibri" w:eastAsia="Calibri" w:hAnsi="Calibri"/>
          <w:sz w:val="22"/>
          <w:szCs w:val="22"/>
        </w:rPr>
        <w:t xml:space="preserve">Continuing from the rule-based validation approach explored in Week 4 Program 1 (Password Strength Checker), this program applies similar character-level analysis to a different domain: parsing an email address into its local part and domain, and verifying each part independently using Python's built-in string methods, without relying on regular expressions or any external validation library.</w:t>
      </w:r>
    </w:p>
    <w:p>
      <w:pPr>
        <w:pStyle w:val="Heading1"/>
        <w:pBdr>
          <w:bottom w:val="single" w:color="2E74B5" w:sz="4" w:space="2"/>
        </w:pBdr>
        <w:spacing w:after="150" w:before="300"/>
      </w:pPr>
      <w:r>
        <w:rPr>
          <w:rFonts w:ascii="Calibri" w:cs="Calibri" w:eastAsia="Calibri" w:hAnsi="Calibri"/>
          <w:b/>
          <w:bCs/>
          <w:color w:val="1F4E79"/>
          <w:sz w:val="27"/>
          <w:szCs w:val="27"/>
        </w:rPr>
        <w:t xml:space="preserve">3. Objectives of the Project (Week 4 - Program 2)</w:t>
      </w:r>
    </w:p>
    <w:p>
      <w:pPr>
        <w:pStyle w:val="ListParagraph"/>
        <w:numPr>
          <w:ilvl w:val="0"/>
          <w:numId w:val="1"/>
        </w:numPr>
        <w:spacing w:after="80"/>
      </w:pPr>
      <w:r>
        <w:rPr>
          <w:rFonts w:ascii="Calibri" w:cs="Calibri" w:eastAsia="Calibri" w:hAnsi="Calibri"/>
          <w:sz w:val="22"/>
          <w:szCs w:val="22"/>
        </w:rPr>
        <w:t xml:space="preserve">Design and implement a console-based email validation system with a boxed menu interface</w:t>
      </w:r>
    </w:p>
    <w:p>
      <w:pPr>
        <w:pStyle w:val="ListParagraph"/>
        <w:numPr>
          <w:ilvl w:val="0"/>
          <w:numId w:val="1"/>
        </w:numPr>
        <w:spacing w:after="80"/>
      </w:pPr>
      <w:r>
        <w:rPr>
          <w:rFonts w:ascii="Calibri" w:cs="Calibri" w:eastAsia="Calibri" w:hAnsi="Calibri"/>
          <w:sz w:val="22"/>
          <w:szCs w:val="22"/>
        </w:rPr>
        <w:t xml:space="preserve">Develop a validation routine that checks for the presence of a single '@' symbol and absence of spaces</w:t>
      </w:r>
    </w:p>
    <w:p>
      <w:pPr>
        <w:pStyle w:val="ListParagraph"/>
        <w:numPr>
          <w:ilvl w:val="0"/>
          <w:numId w:val="1"/>
        </w:numPr>
        <w:spacing w:after="80"/>
      </w:pPr>
      <w:r>
        <w:rPr>
          <w:rFonts w:ascii="Calibri" w:cs="Calibri" w:eastAsia="Calibri" w:hAnsi="Calibri"/>
          <w:sz w:val="22"/>
          <w:szCs w:val="22"/>
        </w:rPr>
        <w:t xml:space="preserve">Implement separate checks for the local part (before '@') and the domain part (after '@')</w:t>
      </w:r>
    </w:p>
    <w:p>
      <w:pPr>
        <w:pStyle w:val="ListParagraph"/>
        <w:numPr>
          <w:ilvl w:val="0"/>
          <w:numId w:val="1"/>
        </w:numPr>
        <w:spacing w:after="80"/>
      </w:pPr>
      <w:r>
        <w:rPr>
          <w:rFonts w:ascii="Calibri" w:cs="Calibri" w:eastAsia="Calibri" w:hAnsi="Calibri"/>
          <w:sz w:val="22"/>
          <w:szCs w:val="22"/>
        </w:rPr>
        <w:t xml:space="preserve">Validate that the domain contains exactly one dot and a properly formed top-level domain (TLD)</w:t>
      </w:r>
    </w:p>
    <w:p>
      <w:pPr>
        <w:pStyle w:val="ListParagraph"/>
        <w:numPr>
          <w:ilvl w:val="0"/>
          <w:numId w:val="1"/>
        </w:numPr>
        <w:spacing w:after="80"/>
      </w:pPr>
      <w:r>
        <w:rPr>
          <w:rFonts w:ascii="Calibri" w:cs="Calibri" w:eastAsia="Calibri" w:hAnsi="Calibri"/>
          <w:sz w:val="22"/>
          <w:szCs w:val="22"/>
        </w:rPr>
        <w:t xml:space="preserve">Restrict accepted TLDs to a defined set of common domains (com, org, edu, net, gov, mil)</w:t>
      </w:r>
    </w:p>
    <w:p>
      <w:pPr>
        <w:pStyle w:val="ListParagraph"/>
        <w:numPr>
          <w:ilvl w:val="0"/>
          <w:numId w:val="1"/>
        </w:numPr>
        <w:spacing w:after="80"/>
      </w:pPr>
      <w:r>
        <w:rPr>
          <w:rFonts w:ascii="Calibri" w:cs="Calibri" w:eastAsia="Calibri" w:hAnsi="Calibri"/>
          <w:sz w:val="22"/>
          <w:szCs w:val="22"/>
        </w:rPr>
        <w:t xml:space="preserve">Test the validator against valid, malformed, and edge-case email addresses to verify correct behaviour</w:t>
      </w:r>
    </w:p>
    <w:p>
      <w:pPr>
        <w:pStyle w:val="Heading1"/>
        <w:pBdr>
          <w:bottom w:val="single" w:color="2E74B5" w:sz="4" w:space="2"/>
        </w:pBdr>
        <w:spacing w:after="150" w:before="300"/>
      </w:pPr>
      <w:r>
        <w:rPr>
          <w:rFonts w:ascii="Calibri" w:cs="Calibri" w:eastAsia="Calibri" w:hAnsi="Calibri"/>
          <w:b/>
          <w:bCs/>
          <w:color w:val="1F4E79"/>
          <w:sz w:val="27"/>
          <w:szCs w:val="27"/>
        </w:rPr>
        <w:t xml:space="preserve">4. Problem Statement / Driving Question</w:t>
      </w:r>
    </w:p>
    <w:p>
      <w:pPr>
        <w:spacing w:after="150" w:line="276"/>
      </w:pPr>
      <w:r>
        <w:rPr>
          <w:rFonts w:ascii="Calibri" w:cs="Calibri" w:eastAsia="Calibri" w:hAnsi="Calibri"/>
          <w:sz w:val="22"/>
          <w:szCs w:val="22"/>
        </w:rPr>
        <w:t xml:space="preserve">How can a submitted email address be checked programmatically for structural validity - correct placement of '@', a well-formed local part and domain, and an accepted top-level domain - and how can specific, informative error messages be returned for each type of formatting mistake?</w:t>
      </w:r>
    </w:p>
    <w:p>
      <w:pPr>
        <w:pStyle w:val="Heading1"/>
        <w:pBdr>
          <w:bottom w:val="single" w:color="2E74B5" w:sz="4" w:space="2"/>
        </w:pBdr>
        <w:spacing w:after="150" w:before="300"/>
      </w:pPr>
      <w:r>
        <w:rPr>
          <w:rFonts w:ascii="Calibri" w:cs="Calibri" w:eastAsia="Calibri" w:hAnsi="Calibri"/>
          <w:b/>
          <w:bCs/>
          <w:color w:val="1F4E79"/>
          <w:sz w:val="27"/>
          <w:szCs w:val="27"/>
        </w:rPr>
        <w:t xml:space="preserve">5. Methodology (Week 4 - Program 2 Activities)</w:t>
      </w:r>
    </w:p>
    <w:p>
      <w:pPr>
        <w:spacing w:after="100" w:before="200"/>
      </w:pPr>
      <w:r>
        <w:rPr>
          <w:rFonts w:ascii="Calibri" w:cs="Calibri" w:eastAsia="Calibri" w:hAnsi="Calibri"/>
          <w:b/>
          <w:bCs/>
          <w:color w:val="1F3864"/>
          <w:sz w:val="23"/>
          <w:szCs w:val="23"/>
        </w:rPr>
        <w:t xml:space="preserve">1. Program Structure</w:t>
      </w:r>
    </w:p>
    <w:p>
      <w:pPr>
        <w:pStyle w:val="ListParagraph"/>
        <w:numPr>
          <w:ilvl w:val="0"/>
          <w:numId w:val="1"/>
        </w:numPr>
        <w:spacing w:after="80"/>
      </w:pPr>
      <w:r>
        <w:rPr>
          <w:rFonts w:ascii="Calibri" w:cs="Calibri" w:eastAsia="Calibri" w:hAnsi="Calibri"/>
          <w:sz w:val="22"/>
          <w:szCs w:val="22"/>
        </w:rPr>
        <w:t xml:space="preserve">Reused the box-drawing helper functions (box_top, box_bottom, box_divider, box_line, print_boxed) to render a consistent bordered menu and result interface</w:t>
      </w:r>
    </w:p>
    <w:p>
      <w:pPr>
        <w:pStyle w:val="ListParagraph"/>
        <w:numPr>
          <w:ilvl w:val="0"/>
          <w:numId w:val="1"/>
        </w:numPr>
        <w:spacing w:after="80"/>
      </w:pPr>
      <w:r>
        <w:rPr>
          <w:rFonts w:ascii="Calibri" w:cs="Calibri" w:eastAsia="Calibri" w:hAnsi="Calibri"/>
          <w:sz w:val="22"/>
          <w:szCs w:val="22"/>
        </w:rPr>
        <w:t xml:space="preserve">Displayed an ASCII-art banner and centred title on program start-up for a polished terminal experience</w:t>
      </w:r>
    </w:p>
    <w:p>
      <w:pPr>
        <w:spacing w:after="100" w:before="200"/>
      </w:pPr>
      <w:r>
        <w:rPr>
          <w:rFonts w:ascii="Calibri" w:cs="Calibri" w:eastAsia="Calibri" w:hAnsi="Calibri"/>
          <w:b/>
          <w:bCs/>
          <w:color w:val="1F3864"/>
          <w:sz w:val="23"/>
          <w:szCs w:val="23"/>
        </w:rPr>
        <w:t xml:space="preserve">2. Local Part and Domain Validation</w:t>
      </w:r>
    </w:p>
    <w:p>
      <w:pPr>
        <w:pStyle w:val="ListParagraph"/>
        <w:numPr>
          <w:ilvl w:val="0"/>
          <w:numId w:val="1"/>
        </w:numPr>
        <w:spacing w:after="80"/>
      </w:pPr>
      <w:r>
        <w:rPr>
          <w:rFonts w:ascii="Calibri" w:cs="Calibri" w:eastAsia="Calibri" w:hAnsi="Calibri"/>
          <w:sz w:val="22"/>
          <w:szCs w:val="22"/>
        </w:rPr>
        <w:t xml:space="preserve">Developed name_check() to confirm the local part of the email contains only alphanumeric characters and is non-empty</w:t>
      </w:r>
    </w:p>
    <w:p>
      <w:pPr>
        <w:pStyle w:val="ListParagraph"/>
        <w:numPr>
          <w:ilvl w:val="0"/>
          <w:numId w:val="1"/>
        </w:numPr>
        <w:spacing w:after="80"/>
      </w:pPr>
      <w:r>
        <w:rPr>
          <w:rFonts w:ascii="Calibri" w:cs="Calibri" w:eastAsia="Calibri" w:hAnsi="Calibri"/>
          <w:sz w:val="22"/>
          <w:szCs w:val="22"/>
        </w:rPr>
        <w:t xml:space="preserve">Developed domain_check() to confirm the domain contains exactly one dot, with non-empty alphanumeric segments on each side and a TLD of at least two characters</w:t>
      </w:r>
    </w:p>
    <w:p>
      <w:pPr>
        <w:spacing w:after="100" w:before="200"/>
      </w:pPr>
      <w:r>
        <w:rPr>
          <w:rFonts w:ascii="Calibri" w:cs="Calibri" w:eastAsia="Calibri" w:hAnsi="Calibri"/>
          <w:b/>
          <w:bCs/>
          <w:color w:val="1F3864"/>
          <w:sz w:val="23"/>
          <w:szCs w:val="23"/>
        </w:rPr>
        <w:t xml:space="preserve">3. Overall Email Validation Logic</w:t>
      </w:r>
    </w:p>
    <w:p>
      <w:pPr>
        <w:pStyle w:val="ListParagraph"/>
        <w:numPr>
          <w:ilvl w:val="0"/>
          <w:numId w:val="1"/>
        </w:numPr>
        <w:spacing w:after="80"/>
      </w:pPr>
      <w:r>
        <w:rPr>
          <w:rFonts w:ascii="Calibri" w:cs="Calibri" w:eastAsia="Calibri" w:hAnsi="Calibri"/>
          <w:sz w:val="22"/>
          <w:szCs w:val="22"/>
        </w:rPr>
        <w:t xml:space="preserve">Implemented email_checker() to run preliminary checks first: presence of '@', absence of spaces, minimum length, and a single '@' occurrence</w:t>
      </w:r>
    </w:p>
    <w:p>
      <w:pPr>
        <w:pStyle w:val="ListParagraph"/>
        <w:numPr>
          <w:ilvl w:val="0"/>
          <w:numId w:val="1"/>
        </w:numPr>
        <w:spacing w:after="80"/>
      </w:pPr>
      <w:r>
        <w:rPr>
          <w:rFonts w:ascii="Calibri" w:cs="Calibri" w:eastAsia="Calibri" w:hAnsi="Calibri"/>
          <w:sz w:val="22"/>
          <w:szCs w:val="22"/>
        </w:rPr>
        <w:t xml:space="preserve">Split the email into local and domain parts and validated each using name_check() and domain_check()</w:t>
      </w:r>
    </w:p>
    <w:p>
      <w:pPr>
        <w:pStyle w:val="ListParagraph"/>
        <w:numPr>
          <w:ilvl w:val="0"/>
          <w:numId w:val="1"/>
        </w:numPr>
        <w:spacing w:after="80"/>
      </w:pPr>
      <w:r>
        <w:rPr>
          <w:rFonts w:ascii="Calibri" w:cs="Calibri" w:eastAsia="Calibri" w:hAnsi="Calibri"/>
          <w:sz w:val="22"/>
          <w:szCs w:val="22"/>
        </w:rPr>
        <w:t xml:space="preserve">Restricted the accepted TLD to a fixed set (com, org, edu, net, gov, mil), returning a descriptive error naming the invalid TLD when the check fails</w:t>
      </w:r>
    </w:p>
    <w:p>
      <w:pPr>
        <w:spacing w:after="100" w:before="200"/>
      </w:pPr>
      <w:r>
        <w:rPr>
          <w:rFonts w:ascii="Calibri" w:cs="Calibri" w:eastAsia="Calibri" w:hAnsi="Calibri"/>
          <w:b/>
          <w:bCs/>
          <w:color w:val="1F3864"/>
          <w:sz w:val="23"/>
          <w:szCs w:val="23"/>
        </w:rPr>
        <w:t xml:space="preserve">4. Menu-Driven Control Flow</w:t>
      </w:r>
    </w:p>
    <w:p>
      <w:pPr>
        <w:pStyle w:val="ListParagraph"/>
        <w:numPr>
          <w:ilvl w:val="0"/>
          <w:numId w:val="1"/>
        </w:numPr>
        <w:spacing w:after="80"/>
      </w:pPr>
      <w:r>
        <w:rPr>
          <w:rFonts w:ascii="Calibri" w:cs="Calibri" w:eastAsia="Calibri" w:hAnsi="Calibri"/>
          <w:sz w:val="22"/>
          <w:szCs w:val="22"/>
        </w:rPr>
        <w:t xml:space="preserve">Built a continuous while-loop menu offering Check Email and Exit options</w:t>
      </w:r>
    </w:p>
    <w:p>
      <w:pPr>
        <w:pStyle w:val="ListParagraph"/>
        <w:numPr>
          <w:ilvl w:val="0"/>
          <w:numId w:val="1"/>
        </w:numPr>
        <w:spacing w:after="80"/>
      </w:pPr>
      <w:r>
        <w:rPr>
          <w:rFonts w:ascii="Calibri" w:cs="Calibri" w:eastAsia="Calibri" w:hAnsi="Calibri"/>
          <w:sz w:val="22"/>
          <w:szCs w:val="22"/>
        </w:rPr>
        <w:t xml:space="preserve">Tested the validator with missing '@', multiple '@' symbols, spaces, malformed domains, and unsupported TLDs to confirm each returns the correct, specific error message</w:t>
      </w:r>
    </w:p>
    <w:p>
      <w:pPr>
        <w:pStyle w:val="Heading1"/>
        <w:pBdr>
          <w:bottom w:val="single" w:color="2E74B5" w:sz="4" w:space="2"/>
        </w:pBdr>
        <w:spacing w:after="150" w:before="300"/>
      </w:pPr>
      <w:r>
        <w:rPr>
          <w:rFonts w:ascii="Calibri" w:cs="Calibri" w:eastAsia="Calibri" w:hAnsi="Calibri"/>
          <w:b/>
          <w:bCs/>
          <w:color w:val="1F4E79"/>
          <w:sz w:val="27"/>
          <w:szCs w:val="27"/>
        </w:rPr>
        <w:t xml:space="preserve">6. Expected Outcomes / Deliverables (Week 4 - Program 2)</w:t>
      </w:r>
    </w:p>
    <w:p>
      <w:pPr>
        <w:pStyle w:val="ListParagraph"/>
        <w:numPr>
          <w:ilvl w:val="0"/>
          <w:numId w:val="1"/>
        </w:numPr>
        <w:spacing w:after="80"/>
      </w:pPr>
      <w:r>
        <w:rPr>
          <w:rFonts w:ascii="Calibri" w:cs="Calibri" w:eastAsia="Calibri" w:hAnsi="Calibri"/>
          <w:sz w:val="22"/>
          <w:szCs w:val="22"/>
        </w:rPr>
        <w:t xml:space="preserve">A working console-based Email Validation System that checks structural correctness of an email address</w:t>
      </w:r>
    </w:p>
    <w:p>
      <w:pPr>
        <w:pStyle w:val="ListParagraph"/>
        <w:numPr>
          <w:ilvl w:val="0"/>
          <w:numId w:val="1"/>
        </w:numPr>
        <w:spacing w:after="80"/>
      </w:pPr>
      <w:r>
        <w:rPr>
          <w:rFonts w:ascii="Calibri" w:cs="Calibri" w:eastAsia="Calibri" w:hAnsi="Calibri"/>
          <w:sz w:val="22"/>
          <w:szCs w:val="22"/>
        </w:rPr>
        <w:t xml:space="preserve">Specific, rule-by-rule error messages that explain exactly why an email failed validation</w:t>
      </w:r>
    </w:p>
    <w:p>
      <w:pPr>
        <w:pStyle w:val="ListParagraph"/>
        <w:numPr>
          <w:ilvl w:val="0"/>
          <w:numId w:val="1"/>
        </w:numPr>
        <w:spacing w:after="80"/>
      </w:pPr>
      <w:r>
        <w:rPr>
          <w:rFonts w:ascii="Calibri" w:cs="Calibri" w:eastAsia="Calibri" w:hAnsi="Calibri"/>
          <w:sz w:val="22"/>
          <w:szCs w:val="22"/>
        </w:rPr>
        <w:t xml:space="preserve">A clear, boxed terminal interface consistent with earlier laboratory programs</w:t>
      </w:r>
    </w:p>
    <w:p>
      <w:pPr>
        <w:pStyle w:val="ListParagraph"/>
        <w:numPr>
          <w:ilvl w:val="0"/>
          <w:numId w:val="1"/>
        </w:numPr>
        <w:spacing w:after="80"/>
      </w:pPr>
      <w:r>
        <w:rPr>
          <w:rFonts w:ascii="Calibri" w:cs="Calibri" w:eastAsia="Calibri" w:hAnsi="Calibri"/>
          <w:sz w:val="22"/>
          <w:szCs w:val="22"/>
        </w:rPr>
        <w:t xml:space="preserve">Documented understanding of rule-based string parsing and validation using Python's built-in string methods</w:t>
      </w:r>
    </w:p>
    <w:p>
      <w:pPr>
        <w:pStyle w:val="ListParagraph"/>
        <w:numPr>
          <w:ilvl w:val="0"/>
          <w:numId w:val="1"/>
        </w:numPr>
        <w:spacing w:after="80"/>
      </w:pPr>
      <w:r>
        <w:rPr>
          <w:rFonts w:ascii="Calibri" w:cs="Calibri" w:eastAsia="Calibri" w:hAnsi="Calibri"/>
          <w:sz w:val="22"/>
          <w:szCs w:val="22"/>
        </w:rPr>
        <w:t xml:space="preserve">Identified enhancement opportunities such as regex-based validation and an expandable/configurable TLD list for future work</w:t>
      </w:r>
    </w:p>
    <w:p>
      <w:pPr>
        <w:pStyle w:val="Heading1"/>
        <w:pBdr>
          <w:bottom w:val="single" w:color="2E74B5" w:sz="4" w:space="2"/>
        </w:pBdr>
        <w:spacing w:after="150" w:before="300"/>
      </w:pPr>
      <w:r>
        <w:rPr>
          <w:rFonts w:ascii="Calibri" w:cs="Calibri" w:eastAsia="Calibri" w:hAnsi="Calibri"/>
          <w:b/>
          <w:bCs/>
          <w:color w:val="1F4E79"/>
          <w:sz w:val="27"/>
          <w:szCs w:val="27"/>
        </w:rPr>
        <w:t xml:space="preserve">7. Core Logic</w:t>
      </w:r>
    </w:p>
    <w:p>
      <w:pPr>
        <w:spacing w:after="150" w:line="276"/>
      </w:pPr>
      <w:r>
        <w:rPr>
          <w:rFonts w:ascii="Calibri" w:cs="Calibri" w:eastAsia="Calibri" w:hAnsi="Calibri"/>
          <w:sz w:val="22"/>
          <w:szCs w:val="22"/>
        </w:rPr>
        <w:t xml:space="preserve">The domain_check() function is central to the validator's accuracy. It parses the domain portion of the email, confirms it contains exactly one dot, and verifies that both the name and TLD segments are non-empty, alphanumeric, and that the TLD meets a minimum length. This isolates domain-specific validation from the local-part and overall '@'-placement checks, keeping each rule easy to test and extend.</w:t>
      </w:r>
    </w:p>
    <w:p>
      <w:pPr>
        <w:shd w:fill="F2F2F2" w:color="auto" w:val="clear"/>
        <w:spacing w:after="0"/>
      </w:pPr>
      <w:r>
        <w:rPr>
          <w:rFonts w:ascii="Consolas" w:cs="Consolas" w:eastAsia="Consolas" w:hAnsi="Consolas"/>
          <w:color w:val="1F1F1F"/>
          <w:sz w:val="18"/>
          <w:szCs w:val="18"/>
        </w:rPr>
        <w:t xml:space="preserve">def domain_check(domain):</w:t>
      </w:r>
    </w:p>
    <w:p>
      <w:pPr>
        <w:shd w:fill="F2F2F2" w:color="auto" w:val="clear"/>
        <w:spacing w:after="0"/>
      </w:pPr>
      <w:r>
        <w:rPr>
          <w:rFonts w:ascii="Consolas" w:cs="Consolas" w:eastAsia="Consolas" w:hAnsi="Consolas"/>
          <w:color w:val="1F1F1F"/>
          <w:sz w:val="18"/>
          <w:szCs w:val="18"/>
        </w:rPr>
        <w:t xml:space="preserve">    # Must have exactly one dot, and only letters/digits before and after</w:t>
      </w:r>
    </w:p>
    <w:p>
      <w:pPr>
        <w:shd w:fill="F2F2F2" w:color="auto" w:val="clear"/>
        <w:spacing w:after="0"/>
      </w:pPr>
      <w:r>
        <w:rPr>
          <w:rFonts w:ascii="Consolas" w:cs="Consolas" w:eastAsia="Consolas" w:hAnsi="Consolas"/>
          <w:color w:val="1F1F1F"/>
          <w:sz w:val="18"/>
          <w:szCs w:val="18"/>
        </w:rPr>
        <w:t xml:space="preserve">    if domain.count('.') != 1:</w:t>
      </w:r>
    </w:p>
    <w:p>
      <w:pPr>
        <w:shd w:fill="F2F2F2" w:color="auto" w:val="clear"/>
        <w:spacing w:after="0"/>
      </w:pPr>
      <w:r>
        <w:rPr>
          <w:rFonts w:ascii="Consolas" w:cs="Consolas" w:eastAsia="Consolas" w:hAnsi="Consolas"/>
          <w:color w:val="1F1F1F"/>
          <w:sz w:val="18"/>
          <w:szCs w:val="18"/>
        </w:rPr>
        <w:t xml:space="preserve">        return False</w:t>
      </w:r>
    </w:p>
    <w:p>
      <w:pPr>
        <w:shd w:fill="F2F2F2" w:color="auto" w:val="clear"/>
        <w:spacing w:after="0"/>
      </w:pPr>
      <w:r>
        <w:rPr>
          <w:rFonts w:ascii="Consolas" w:cs="Consolas" w:eastAsia="Consolas" w:hAnsi="Consolas"/>
          <w:color w:val="1F1F1F"/>
          <w:sz w:val="18"/>
          <w:szCs w:val="18"/>
        </w:rPr>
        <w:t xml:space="preserve">    local, tld = domain.split('.')</w:t>
      </w:r>
    </w:p>
    <w:p>
      <w:pPr>
        <w:shd w:fill="F2F2F2" w:color="auto" w:val="clear"/>
        <w:spacing w:after="0"/>
      </w:pPr>
      <w:r>
        <w:rPr>
          <w:rFonts w:ascii="Consolas" w:cs="Consolas" w:eastAsia="Consolas" w:hAnsi="Consolas"/>
          <w:color w:val="1F1F1F"/>
          <w:sz w:val="18"/>
          <w:szCs w:val="18"/>
        </w:rPr>
        <w:t xml:space="preserve">    if not local or not tld:</w:t>
      </w:r>
    </w:p>
    <w:p>
      <w:pPr>
        <w:shd w:fill="F2F2F2" w:color="auto" w:val="clear"/>
        <w:spacing w:after="0"/>
      </w:pPr>
      <w:r>
        <w:rPr>
          <w:rFonts w:ascii="Consolas" w:cs="Consolas" w:eastAsia="Consolas" w:hAnsi="Consolas"/>
          <w:color w:val="1F1F1F"/>
          <w:sz w:val="18"/>
          <w:szCs w:val="18"/>
        </w:rPr>
        <w:t xml:space="preserve">        return False</w:t>
      </w:r>
    </w:p>
    <w:p>
      <w:pPr>
        <w:shd w:fill="F2F2F2" w:color="auto" w:val="clear"/>
        <w:spacing w:after="0"/>
      </w:pPr>
      <w:r>
        <w:rPr>
          <w:rFonts w:ascii="Consolas" w:cs="Consolas" w:eastAsia="Consolas" w:hAnsi="Consolas"/>
          <w:color w:val="1F1F1F"/>
          <w:sz w:val="18"/>
          <w:szCs w:val="18"/>
        </w:rPr>
        <w:t xml:space="preserve">    if not local.isalnum() or not tld.isalnum():</w:t>
      </w:r>
    </w:p>
    <w:p>
      <w:pPr>
        <w:shd w:fill="F2F2F2" w:color="auto" w:val="clear"/>
        <w:spacing w:after="0"/>
      </w:pPr>
      <w:r>
        <w:rPr>
          <w:rFonts w:ascii="Consolas" w:cs="Consolas" w:eastAsia="Consolas" w:hAnsi="Consolas"/>
          <w:color w:val="1F1F1F"/>
          <w:sz w:val="18"/>
          <w:szCs w:val="18"/>
        </w:rPr>
        <w:t xml:space="preserve">        return False               # reject symbols/spaces in domain parts</w:t>
      </w:r>
    </w:p>
    <w:p>
      <w:pPr>
        <w:shd w:fill="F2F2F2" w:color="auto" w:val="clear"/>
        <w:spacing w:after="0"/>
      </w:pPr>
      <w:r>
        <w:rPr>
          <w:rFonts w:ascii="Consolas" w:cs="Consolas" w:eastAsia="Consolas" w:hAnsi="Consolas"/>
          <w:color w:val="1F1F1F"/>
          <w:sz w:val="18"/>
          <w:szCs w:val="18"/>
        </w:rPr>
        <w:t xml:space="preserve">    if len(tld) &lt; 2:</w:t>
      </w:r>
    </w:p>
    <w:p>
      <w:pPr>
        <w:shd w:fill="F2F2F2" w:color="auto" w:val="clear"/>
        <w:spacing w:after="0"/>
      </w:pPr>
      <w:r>
        <w:rPr>
          <w:rFonts w:ascii="Consolas" w:cs="Consolas" w:eastAsia="Consolas" w:hAnsi="Consolas"/>
          <w:color w:val="1F1F1F"/>
          <w:sz w:val="18"/>
          <w:szCs w:val="18"/>
        </w:rPr>
        <w:t xml:space="preserve">        return False               # TLD must be at least 2 characters</w:t>
      </w:r>
    </w:p>
    <w:p>
      <w:pPr>
        <w:shd w:fill="F2F2F2" w:color="auto" w:val="clear"/>
        <w:spacing w:after="0"/>
      </w:pPr>
      <w:r>
        <w:rPr>
          <w:rFonts w:ascii="Consolas" w:cs="Consolas" w:eastAsia="Consolas" w:hAnsi="Consolas"/>
          <w:color w:val="1F1F1F"/>
          <w:sz w:val="18"/>
          <w:szCs w:val="18"/>
        </w:rPr>
        <w:t xml:space="preserve">    return True</w:t>
      </w:r>
    </w:p>
    <w:p>
      <w:pPr>
        <w:spacing w:after="150"/>
      </w:pPr>
    </w:p>
    <w:p>
      <w:pPr>
        <w:spacing w:after="150" w:line="276"/>
      </w:pPr>
      <w:r>
        <w:rPr>
          <w:rFonts w:ascii="Calibri" w:cs="Calibri" w:eastAsia="Calibri" w:hAnsi="Calibri"/>
          <w:sz w:val="22"/>
          <w:szCs w:val="22"/>
        </w:rPr>
        <w:t xml:space="preserve">Note: the system currently restricts valid emails to a fixed TLD set and alphanumeric-only local/domain parts, so addresses using hyphens, subdomains, or newer TLDs are rejected; broadening this coverage is planned as a future enhancement.</w:t>
      </w:r>
    </w:p>
    <w:p>
      <w:pPr>
        <w:pStyle w:val="Heading1"/>
        <w:pBdr>
          <w:bottom w:val="single" w:color="2E74B5" w:sz="4" w:space="2"/>
        </w:pBdr>
        <w:spacing w:after="150" w:before="300"/>
      </w:pPr>
      <w:r>
        <w:rPr>
          <w:rFonts w:ascii="Calibri" w:cs="Calibri" w:eastAsia="Calibri" w:hAnsi="Calibri"/>
          <w:b/>
          <w:bCs/>
          <w:color w:val="1F4E79"/>
          <w:sz w:val="27"/>
          <w:szCs w:val="27"/>
        </w:rPr>
        <w:t xml:space="preserve">8. Output Screenshot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dashed" w:color="9DB6CE" w:sz="8"/>
              <w:left w:val="dashed" w:color="9DB6CE" w:sz="8"/>
              <w:bottom w:val="dashed" w:color="9DB6CE" w:sz="8"/>
              <w:right w:val="dashed" w:color="9DB6CE" w:sz="8"/>
            </w:tcBorders>
            <w:tcMar>
              <w:top w:type="dxa" w:w="1200"/>
              <w:left w:type="dxa" w:w="200"/>
              <w:bottom w:type="dxa" w:w="1200"/>
              <w:right w:type="dxa" w:w="200"/>
            </w:tcMar>
          </w:tcPr>
          <w:p>
            <w:pPr>
              <w:jc w:val="center"/>
            </w:pPr>
            <w:r>
              <w:rPr>
                <w:rFonts w:ascii="Calibri" w:cs="Calibri" w:eastAsia="Calibri" w:hAnsi="Calibri"/>
                <w:i/>
                <w:iCs/>
                <w:color w:val="7F7F7F"/>
                <w:sz w:val="22"/>
                <w:szCs w:val="22"/>
              </w:rPr>
              <w:t xml:space="preserve">Insert Program Output Screenshot Here</w:t>
            </w:r>
          </w:p>
        </w:tc>
      </w:tr>
    </w:tbl>
    <w:p>
      <w:pPr>
        <w:spacing w:after="150"/>
      </w:pPr>
    </w:p>
    <w:p>
      <w:pPr>
        <w:pStyle w:val="Heading1"/>
        <w:pBdr>
          <w:bottom w:val="single" w:color="2E74B5" w:sz="4" w:space="2"/>
        </w:pBdr>
        <w:spacing w:after="150" w:before="300"/>
      </w:pPr>
      <w:r>
        <w:rPr>
          <w:rFonts w:ascii="Calibri" w:cs="Calibri" w:eastAsia="Calibri" w:hAnsi="Calibri"/>
          <w:b/>
          <w:bCs/>
          <w:color w:val="1F4E79"/>
          <w:sz w:val="27"/>
          <w:szCs w:val="27"/>
        </w:rPr>
        <w:t xml:space="preserve">9. Project Timeline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4800"/>
        <w:gridCol w:w="1600"/>
      </w:tblGrid>
      <w:tr>
        <w:tc>
          <w:tcPr>
            <w:tcW w:type="dxa" w:w="1500"/>
            <w:tcBorders>
              <w:top w:val="single" w:color="9DB6CE" w:sz="4"/>
              <w:left w:val="single" w:color="9DB6CE" w:sz="4"/>
              <w:bottom w:val="single" w:color="9DB6CE" w:sz="4"/>
              <w:right w:val="single" w:color="9DB6CE" w:sz="4"/>
            </w:tcBorders>
            <w:shd w:fill="1F3864" w:color="auto"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Week</w:t>
            </w:r>
          </w:p>
        </w:tc>
        <w:tc>
          <w:tcPr>
            <w:tcW w:type="dxa" w:w="1500"/>
            <w:tcBorders>
              <w:top w:val="single" w:color="9DB6CE" w:sz="4"/>
              <w:left w:val="single" w:color="9DB6CE" w:sz="4"/>
              <w:bottom w:val="single" w:color="9DB6CE" w:sz="4"/>
              <w:right w:val="single" w:color="9DB6CE" w:sz="4"/>
            </w:tcBorders>
            <w:shd w:fill="1F3864" w:color="auto"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Date</w:t>
            </w:r>
          </w:p>
        </w:tc>
        <w:tc>
          <w:tcPr>
            <w:tcW w:type="dxa" w:w="4800"/>
            <w:tcBorders>
              <w:top w:val="single" w:color="9DB6CE" w:sz="4"/>
              <w:left w:val="single" w:color="9DB6CE" w:sz="4"/>
              <w:bottom w:val="single" w:color="9DB6CE" w:sz="4"/>
              <w:right w:val="single" w:color="9DB6CE" w:sz="4"/>
            </w:tcBorders>
            <w:shd w:fill="1F3864" w:color="auto"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Activity</w:t>
            </w:r>
          </w:p>
        </w:tc>
        <w:tc>
          <w:tcPr>
            <w:tcW w:type="dxa" w:w="1600"/>
            <w:tcBorders>
              <w:top w:val="single" w:color="9DB6CE" w:sz="4"/>
              <w:left w:val="single" w:color="9DB6CE" w:sz="4"/>
              <w:bottom w:val="single" w:color="9DB6CE" w:sz="4"/>
              <w:right w:val="single" w:color="9DB6CE" w:sz="4"/>
            </w:tcBorders>
            <w:shd w:fill="1F3864" w:color="auto"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Status</w:t>
            </w:r>
          </w:p>
        </w:tc>
      </w:tr>
      <w:tr>
        <w:tc>
          <w:tcPr>
            <w:tcW w:type="dxa" w:w="15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Week 1</w:t>
            </w:r>
          </w:p>
        </w:tc>
        <w:tc>
          <w:tcPr>
            <w:tcW w:type="dxa" w:w="15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10/07/2026</w:t>
            </w:r>
          </w:p>
        </w:tc>
        <w:tc>
          <w:tcPr>
            <w:tcW w:type="dxa" w:w="48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Student Grade Management System</w:t>
            </w:r>
          </w:p>
        </w:tc>
        <w:tc>
          <w:tcPr>
            <w:tcW w:type="dxa" w:w="16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bCs/>
                <w:color w:val="000000"/>
                <w:sz w:val="20"/>
                <w:szCs w:val="20"/>
              </w:rPr>
              <w:t xml:space="preserve">Completed</w:t>
            </w:r>
          </w:p>
        </w:tc>
      </w:tr>
      <w:tr>
        <w:tc>
          <w:tcPr>
            <w:tcW w:type="dxa" w:w="15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Week 2 - Program 1</w:t>
            </w:r>
          </w:p>
        </w:tc>
        <w:tc>
          <w:tcPr>
            <w:tcW w:type="dxa" w:w="15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17/07/2026</w:t>
            </w:r>
          </w:p>
        </w:tc>
        <w:tc>
          <w:tcPr>
            <w:tcW w:type="dxa" w:w="48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Electricity Bill Calculator</w:t>
            </w:r>
          </w:p>
        </w:tc>
        <w:tc>
          <w:tcPr>
            <w:tcW w:type="dxa" w:w="16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bCs/>
                <w:color w:val="000000"/>
                <w:sz w:val="20"/>
                <w:szCs w:val="20"/>
              </w:rPr>
              <w:t xml:space="preserve">Completed</w:t>
            </w:r>
          </w:p>
        </w:tc>
      </w:tr>
      <w:tr>
        <w:tc>
          <w:tcPr>
            <w:tcW w:type="dxa" w:w="15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Week 2 - Program 2</w:t>
            </w:r>
          </w:p>
        </w:tc>
        <w:tc>
          <w:tcPr>
            <w:tcW w:type="dxa" w:w="15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17/07/2026</w:t>
            </w:r>
          </w:p>
        </w:tc>
        <w:tc>
          <w:tcPr>
            <w:tcW w:type="dxa" w:w="48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ATM Transaction Simulator</w:t>
            </w:r>
          </w:p>
        </w:tc>
        <w:tc>
          <w:tcPr>
            <w:tcW w:type="dxa" w:w="16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bCs/>
                <w:color w:val="000000"/>
                <w:sz w:val="20"/>
                <w:szCs w:val="20"/>
              </w:rPr>
              <w:t xml:space="preserve">Completed</w:t>
            </w:r>
          </w:p>
        </w:tc>
      </w:tr>
      <w:tr>
        <w:tc>
          <w:tcPr>
            <w:tcW w:type="dxa" w:w="15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Week 3 - Program 1</w:t>
            </w:r>
          </w:p>
        </w:tc>
        <w:tc>
          <w:tcPr>
            <w:tcW w:type="dxa" w:w="15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24/07/2026</w:t>
            </w:r>
          </w:p>
        </w:tc>
        <w:tc>
          <w:tcPr>
            <w:tcW w:type="dxa" w:w="48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Bank Management System</w:t>
            </w:r>
          </w:p>
        </w:tc>
        <w:tc>
          <w:tcPr>
            <w:tcW w:type="dxa" w:w="16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bCs/>
                <w:color w:val="000000"/>
                <w:sz w:val="20"/>
                <w:szCs w:val="20"/>
              </w:rPr>
              <w:t xml:space="preserve">Completed</w:t>
            </w:r>
          </w:p>
        </w:tc>
      </w:tr>
      <w:tr>
        <w:tc>
          <w:tcPr>
            <w:tcW w:type="dxa" w:w="15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Week 3 - Program 2</w:t>
            </w:r>
          </w:p>
        </w:tc>
        <w:tc>
          <w:tcPr>
            <w:tcW w:type="dxa" w:w="15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24/07/2026</w:t>
            </w:r>
          </w:p>
        </w:tc>
        <w:tc>
          <w:tcPr>
            <w:tcW w:type="dxa" w:w="48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Hotel Booking System</w:t>
            </w:r>
          </w:p>
        </w:tc>
        <w:tc>
          <w:tcPr>
            <w:tcW w:type="dxa" w:w="16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bCs/>
                <w:color w:val="000000"/>
                <w:sz w:val="20"/>
                <w:szCs w:val="20"/>
              </w:rPr>
              <w:t xml:space="preserve">Completed</w:t>
            </w:r>
          </w:p>
        </w:tc>
      </w:tr>
      <w:tr>
        <w:tc>
          <w:tcPr>
            <w:tcW w:type="dxa" w:w="15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Week 3 - Program 3</w:t>
            </w:r>
          </w:p>
        </w:tc>
        <w:tc>
          <w:tcPr>
            <w:tcW w:type="dxa" w:w="15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24/07/2026</w:t>
            </w:r>
          </w:p>
        </w:tc>
        <w:tc>
          <w:tcPr>
            <w:tcW w:type="dxa" w:w="48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Library Management System</w:t>
            </w:r>
          </w:p>
        </w:tc>
        <w:tc>
          <w:tcPr>
            <w:tcW w:type="dxa" w:w="16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bCs/>
                <w:color w:val="000000"/>
                <w:sz w:val="20"/>
                <w:szCs w:val="20"/>
              </w:rPr>
              <w:t xml:space="preserve">Completed</w:t>
            </w:r>
          </w:p>
        </w:tc>
      </w:tr>
      <w:tr>
        <w:tc>
          <w:tcPr>
            <w:tcW w:type="dxa" w:w="15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Week 4 - Program 1</w:t>
            </w:r>
          </w:p>
        </w:tc>
        <w:tc>
          <w:tcPr>
            <w:tcW w:type="dxa" w:w="15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31/07/2026</w:t>
            </w:r>
          </w:p>
        </w:tc>
        <w:tc>
          <w:tcPr>
            <w:tcW w:type="dxa" w:w="48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Password Strength Checker</w:t>
            </w:r>
          </w:p>
        </w:tc>
        <w:tc>
          <w:tcPr>
            <w:tcW w:type="dxa" w:w="1600"/>
            <w:tcBorders>
              <w:top w:val="single" w:color="9DB6CE" w:sz="4"/>
              <w:left w:val="single" w:color="9DB6CE" w:sz="4"/>
              <w:bottom w:val="single" w:color="9DB6CE" w:sz="4"/>
              <w:right w:val="single" w:color="9DB6CE" w:sz="4"/>
            </w:tcBorders>
            <w:shd w:fill="DCE6F1" w:color="auto" w:val="clear"/>
            <w:tcMar>
              <w:top w:type="dxa" w:w="90"/>
              <w:left w:type="dxa" w:w="100"/>
              <w:bottom w:type="dxa" w:w="90"/>
              <w:right w:type="dxa" w:w="100"/>
            </w:tcMar>
            <w:vAlign w:val="center"/>
          </w:tcPr>
          <w:p>
            <w:r>
              <w:rPr>
                <w:rFonts w:ascii="Calibri" w:cs="Calibri" w:eastAsia="Calibri" w:hAnsi="Calibri"/>
                <w:b/>
                <w:bCs/>
                <w:color w:val="000000"/>
                <w:sz w:val="20"/>
                <w:szCs w:val="20"/>
              </w:rPr>
              <w:t xml:space="preserve">Completed</w:t>
            </w:r>
          </w:p>
        </w:tc>
      </w:tr>
      <w:tr>
        <w:tc>
          <w:tcPr>
            <w:tcW w:type="dxa" w:w="1500"/>
            <w:tcBorders>
              <w:top w:val="single" w:color="9DB6CE" w:sz="4"/>
              <w:left w:val="single" w:color="9DB6CE" w:sz="4"/>
              <w:bottom w:val="single" w:color="9DB6CE" w:sz="4"/>
              <w:right w:val="single" w:color="9DB6CE" w:sz="4"/>
            </w:tcBorders>
            <w:shd w:fill="2E74B5" w:color="auto"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Week 4 - Program 2</w:t>
            </w:r>
          </w:p>
        </w:tc>
        <w:tc>
          <w:tcPr>
            <w:tcW w:type="dxa" w:w="1500"/>
            <w:tcBorders>
              <w:top w:val="single" w:color="9DB6CE" w:sz="4"/>
              <w:left w:val="single" w:color="9DB6CE" w:sz="4"/>
              <w:bottom w:val="single" w:color="9DB6CE" w:sz="4"/>
              <w:right w:val="single" w:color="9DB6CE" w:sz="4"/>
            </w:tcBorders>
            <w:shd w:fill="2E74B5" w:color="auto"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31/07/2026</w:t>
            </w:r>
          </w:p>
        </w:tc>
        <w:tc>
          <w:tcPr>
            <w:tcW w:type="dxa" w:w="4800"/>
            <w:tcBorders>
              <w:top w:val="single" w:color="9DB6CE" w:sz="4"/>
              <w:left w:val="single" w:color="9DB6CE" w:sz="4"/>
              <w:bottom w:val="single" w:color="9DB6CE" w:sz="4"/>
              <w:right w:val="single" w:color="9DB6CE" w:sz="4"/>
            </w:tcBorders>
            <w:shd w:fill="2E74B5" w:color="auto"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Email Validation System</w:t>
            </w:r>
          </w:p>
        </w:tc>
        <w:tc>
          <w:tcPr>
            <w:tcW w:type="dxa" w:w="1600"/>
            <w:tcBorders>
              <w:top w:val="single" w:color="9DB6CE" w:sz="4"/>
              <w:left w:val="single" w:color="9DB6CE" w:sz="4"/>
              <w:bottom w:val="single" w:color="9DB6CE" w:sz="4"/>
              <w:right w:val="single" w:color="9DB6CE" w:sz="4"/>
            </w:tcBorders>
            <w:shd w:fill="2E74B5" w:color="auto"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Current Week</w:t>
            </w:r>
          </w:p>
        </w:tc>
      </w:tr>
      <w:tr>
        <w:tc>
          <w:tcPr>
            <w:tcW w:type="dxa" w:w="1500"/>
            <w:tcBorders>
              <w:top w:val="single" w:color="9DB6CE" w:sz="4"/>
              <w:left w:val="single" w:color="9DB6CE" w:sz="4"/>
              <w:bottom w:val="single" w:color="9DB6CE" w:sz="4"/>
              <w:right w:val="single" w:color="9DB6CE" w:sz="4"/>
            </w:tcBorders>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Week 5</w:t>
            </w:r>
          </w:p>
        </w:tc>
        <w:tc>
          <w:tcPr>
            <w:tcW w:type="dxa" w:w="1500"/>
            <w:tcBorders>
              <w:top w:val="single" w:color="9DB6CE" w:sz="4"/>
              <w:left w:val="single" w:color="9DB6CE" w:sz="4"/>
              <w:bottom w:val="single" w:color="9DB6CE" w:sz="4"/>
              <w:right w:val="single" w:color="9DB6CE" w:sz="4"/>
            </w:tcBorders>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TBD</w:t>
            </w:r>
          </w:p>
        </w:tc>
        <w:tc>
          <w:tcPr>
            <w:tcW w:type="dxa" w:w="4800"/>
            <w:tcBorders>
              <w:top w:val="single" w:color="9DB6CE" w:sz="4"/>
              <w:left w:val="single" w:color="9DB6CE" w:sz="4"/>
              <w:bottom w:val="single" w:color="9DB6CE" w:sz="4"/>
              <w:right w:val="single" w:color="9DB6CE" w:sz="4"/>
            </w:tcBorders>
            <w:tcMar>
              <w:top w:type="dxa" w:w="90"/>
              <w:left w:type="dxa" w:w="100"/>
              <w:bottom w:type="dxa" w:w="90"/>
              <w:right w:type="dxa" w:w="100"/>
            </w:tcMar>
            <w:vAlign w:val="center"/>
          </w:tcPr>
          <w:p>
            <w:r>
              <w:rPr>
                <w:rFonts w:ascii="Calibri" w:cs="Calibri" w:eastAsia="Calibri" w:hAnsi="Calibri"/>
                <w:b w:val="false"/>
                <w:bCs w:val="false"/>
                <w:color w:val="000000"/>
                <w:sz w:val="20"/>
                <w:szCs w:val="20"/>
              </w:rPr>
              <w:t xml:space="preserve">Text Encryption &amp; Decryption Tool</w:t>
            </w:r>
          </w:p>
        </w:tc>
        <w:tc>
          <w:tcPr>
            <w:tcW w:type="dxa" w:w="1600"/>
            <w:tcBorders>
              <w:top w:val="single" w:color="9DB6CE" w:sz="4"/>
              <w:left w:val="single" w:color="9DB6CE" w:sz="4"/>
              <w:bottom w:val="single" w:color="9DB6CE" w:sz="4"/>
              <w:right w:val="single" w:color="9DB6CE" w:sz="4"/>
            </w:tcBorders>
            <w:tcMar>
              <w:top w:type="dxa" w:w="90"/>
              <w:left w:type="dxa" w:w="100"/>
              <w:bottom w:type="dxa" w:w="90"/>
              <w:right w:type="dxa" w:w="100"/>
            </w:tcMar>
            <w:vAlign w:val="center"/>
          </w:tcPr>
          <w:p>
            <w:r>
              <w:rPr>
                <w:rFonts w:ascii="Calibri" w:cs="Calibri" w:eastAsia="Calibri" w:hAnsi="Calibri"/>
                <w:b/>
                <w:bCs/>
                <w:color w:val="000000"/>
                <w:sz w:val="20"/>
                <w:szCs w:val="20"/>
              </w:rPr>
              <w:t xml:space="preserve">Upcoming</w:t>
            </w:r>
          </w:p>
        </w:tc>
      </w:tr>
    </w:tbl>
    <w:p>
      <w:pPr>
        <w:spacing w:after="150"/>
      </w:pPr>
    </w:p>
    <w:p>
      <w:pPr>
        <w:pStyle w:val="Heading1"/>
        <w:pBdr>
          <w:bottom w:val="single" w:color="2E74B5" w:sz="4" w:space="2"/>
        </w:pBdr>
        <w:spacing w:after="150" w:before="300"/>
      </w:pPr>
      <w:r>
        <w:rPr>
          <w:rFonts w:ascii="Calibri" w:cs="Calibri" w:eastAsia="Calibri" w:hAnsi="Calibri"/>
          <w:b/>
          <w:bCs/>
          <w:color w:val="1F4E79"/>
          <w:sz w:val="27"/>
          <w:szCs w:val="27"/>
        </w:rPr>
        <w:t xml:space="preserve">10. Tools &amp; Technologies Used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tcBorders>
              <w:top w:val="single" w:color="9DB6CE" w:sz="4"/>
              <w:left w:val="single" w:color="9DB6CE" w:sz="4"/>
              <w:bottom w:val="single" w:color="9DB6CE" w:sz="4"/>
              <w:right w:val="single" w:color="9DB6CE" w:sz="4"/>
            </w:tcBorders>
            <w:shd w:fill="1F3864" w:color="auto"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Tool / Technology</w:t>
            </w:r>
          </w:p>
        </w:tc>
        <w:tc>
          <w:tcPr>
            <w:tcW w:type="dxa" w:w="6400"/>
            <w:tcBorders>
              <w:top w:val="single" w:color="9DB6CE" w:sz="4"/>
              <w:left w:val="single" w:color="9DB6CE" w:sz="4"/>
              <w:bottom w:val="single" w:color="9DB6CE" w:sz="4"/>
              <w:right w:val="single" w:color="9DB6CE" w:sz="4"/>
            </w:tcBorders>
            <w:shd w:fill="1F3864" w:color="auto"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Purpose</w:t>
            </w:r>
          </w:p>
        </w:tc>
      </w:tr>
      <w:tr>
        <w:tc>
          <w:tcPr>
            <w:tcW w:type="dxa" w:w="3000"/>
            <w:tcBorders>
              <w:top w:val="single" w:color="9DB6CE" w:sz="4"/>
              <w:left w:val="single" w:color="9DB6CE" w:sz="4"/>
              <w:bottom w:val="single" w:color="9DB6CE" w:sz="4"/>
              <w:right w:val="single" w:color="9DB6CE" w:sz="4"/>
            </w:tcBorders>
            <w:shd w:fill="DCE6F1" w:color="auto" w:val="clear"/>
            <w:tcMar>
              <w:top w:type="dxa" w:w="90"/>
              <w:left w:type="dxa" w:w="110"/>
              <w:bottom w:type="dxa" w:w="90"/>
              <w:right w:type="dxa" w:w="110"/>
            </w:tcMar>
          </w:tcPr>
          <w:p>
            <w:r>
              <w:rPr>
                <w:rFonts w:ascii="Calibri" w:cs="Calibri" w:eastAsia="Calibri" w:hAnsi="Calibri"/>
                <w:b/>
                <w:bCs/>
                <w:color w:val="1F3864"/>
                <w:sz w:val="21"/>
                <w:szCs w:val="21"/>
              </w:rPr>
              <w:t xml:space="preserve">Python 3.x</w:t>
            </w:r>
          </w:p>
        </w:tc>
        <w:tc>
          <w:tcPr>
            <w:tcW w:type="dxa" w:w="6400"/>
            <w:tcBorders>
              <w:top w:val="single" w:color="9DB6CE" w:sz="4"/>
              <w:left w:val="single" w:color="9DB6CE" w:sz="4"/>
              <w:bottom w:val="single" w:color="9DB6CE" w:sz="4"/>
              <w:right w:val="single" w:color="9DB6CE" w:sz="4"/>
            </w:tcBorders>
            <w:tcMar>
              <w:top w:type="dxa" w:w="90"/>
              <w:left w:type="dxa" w:w="110"/>
              <w:bottom w:type="dxa" w:w="90"/>
              <w:right w:type="dxa" w:w="110"/>
            </w:tcMar>
          </w:tcPr>
          <w:p>
            <w:r>
              <w:rPr>
                <w:rFonts w:ascii="Calibri" w:cs="Calibri" w:eastAsia="Calibri" w:hAnsi="Calibri"/>
                <w:sz w:val="21"/>
                <w:szCs w:val="21"/>
              </w:rPr>
              <w:t xml:space="preserve">Core programming language used to implement the email validation system</w:t>
            </w:r>
          </w:p>
        </w:tc>
      </w:tr>
      <w:tr>
        <w:tc>
          <w:tcPr>
            <w:tcW w:type="dxa" w:w="3000"/>
            <w:tcBorders>
              <w:top w:val="single" w:color="9DB6CE" w:sz="4"/>
              <w:left w:val="single" w:color="9DB6CE" w:sz="4"/>
              <w:bottom w:val="single" w:color="9DB6CE" w:sz="4"/>
              <w:right w:val="single" w:color="9DB6CE" w:sz="4"/>
            </w:tcBorders>
            <w:shd w:fill="DCE6F1" w:color="auto" w:val="clear"/>
            <w:tcMar>
              <w:top w:type="dxa" w:w="90"/>
              <w:left w:type="dxa" w:w="110"/>
              <w:bottom w:type="dxa" w:w="90"/>
              <w:right w:type="dxa" w:w="110"/>
            </w:tcMar>
          </w:tcPr>
          <w:p>
            <w:r>
              <w:rPr>
                <w:rFonts w:ascii="Calibri" w:cs="Calibri" w:eastAsia="Calibri" w:hAnsi="Calibri"/>
                <w:b/>
                <w:bCs/>
                <w:color w:val="1F3864"/>
                <w:sz w:val="21"/>
                <w:szCs w:val="21"/>
              </w:rPr>
              <w:t xml:space="preserve">str methods (isalnum, split, count)</w:t>
            </w:r>
          </w:p>
        </w:tc>
        <w:tc>
          <w:tcPr>
            <w:tcW w:type="dxa" w:w="6400"/>
            <w:tcBorders>
              <w:top w:val="single" w:color="9DB6CE" w:sz="4"/>
              <w:left w:val="single" w:color="9DB6CE" w:sz="4"/>
              <w:bottom w:val="single" w:color="9DB6CE" w:sz="4"/>
              <w:right w:val="single" w:color="9DB6CE" w:sz="4"/>
            </w:tcBorders>
            <w:tcMar>
              <w:top w:type="dxa" w:w="90"/>
              <w:left w:type="dxa" w:w="110"/>
              <w:bottom w:type="dxa" w:w="90"/>
              <w:right w:type="dxa" w:w="110"/>
            </w:tcMar>
          </w:tcPr>
          <w:p>
            <w:r>
              <w:rPr>
                <w:rFonts w:ascii="Calibri" w:cs="Calibri" w:eastAsia="Calibri" w:hAnsi="Calibri"/>
                <w:sz w:val="21"/>
                <w:szCs w:val="21"/>
              </w:rPr>
              <w:t xml:space="preserve">Parsing and character-level checks used to validate the local part, domain and TLD</w:t>
            </w:r>
          </w:p>
        </w:tc>
      </w:tr>
      <w:tr>
        <w:tc>
          <w:tcPr>
            <w:tcW w:type="dxa" w:w="3000"/>
            <w:tcBorders>
              <w:top w:val="single" w:color="9DB6CE" w:sz="4"/>
              <w:left w:val="single" w:color="9DB6CE" w:sz="4"/>
              <w:bottom w:val="single" w:color="9DB6CE" w:sz="4"/>
              <w:right w:val="single" w:color="9DB6CE" w:sz="4"/>
            </w:tcBorders>
            <w:shd w:fill="DCE6F1" w:color="auto" w:val="clear"/>
            <w:tcMar>
              <w:top w:type="dxa" w:w="90"/>
              <w:left w:type="dxa" w:w="110"/>
              <w:bottom w:type="dxa" w:w="90"/>
              <w:right w:type="dxa" w:w="110"/>
            </w:tcMar>
          </w:tcPr>
          <w:p>
            <w:r>
              <w:rPr>
                <w:rFonts w:ascii="Calibri" w:cs="Calibri" w:eastAsia="Calibri" w:hAnsi="Calibri"/>
                <w:b/>
                <w:bCs/>
                <w:color w:val="1F3864"/>
                <w:sz w:val="21"/>
                <w:szCs w:val="21"/>
              </w:rPr>
              <w:t xml:space="preserve">Python Sets</w:t>
            </w:r>
          </w:p>
        </w:tc>
        <w:tc>
          <w:tcPr>
            <w:tcW w:type="dxa" w:w="6400"/>
            <w:tcBorders>
              <w:top w:val="single" w:color="9DB6CE" w:sz="4"/>
              <w:left w:val="single" w:color="9DB6CE" w:sz="4"/>
              <w:bottom w:val="single" w:color="9DB6CE" w:sz="4"/>
              <w:right w:val="single" w:color="9DB6CE" w:sz="4"/>
            </w:tcBorders>
            <w:tcMar>
              <w:top w:type="dxa" w:w="90"/>
              <w:left w:type="dxa" w:w="110"/>
              <w:bottom w:type="dxa" w:w="90"/>
              <w:right w:type="dxa" w:w="110"/>
            </w:tcMar>
          </w:tcPr>
          <w:p>
            <w:r>
              <w:rPr>
                <w:rFonts w:ascii="Calibri" w:cs="Calibri" w:eastAsia="Calibri" w:hAnsi="Calibri"/>
                <w:sz w:val="21"/>
                <w:szCs w:val="21"/>
              </w:rPr>
              <w:t xml:space="preserve">Storing the collection of accepted top-level domains for fast membership checks</w:t>
            </w:r>
          </w:p>
        </w:tc>
      </w:tr>
      <w:tr>
        <w:tc>
          <w:tcPr>
            <w:tcW w:type="dxa" w:w="3000"/>
            <w:tcBorders>
              <w:top w:val="single" w:color="9DB6CE" w:sz="4"/>
              <w:left w:val="single" w:color="9DB6CE" w:sz="4"/>
              <w:bottom w:val="single" w:color="9DB6CE" w:sz="4"/>
              <w:right w:val="single" w:color="9DB6CE" w:sz="4"/>
            </w:tcBorders>
            <w:shd w:fill="DCE6F1" w:color="auto" w:val="clear"/>
            <w:tcMar>
              <w:top w:type="dxa" w:w="90"/>
              <w:left w:type="dxa" w:w="110"/>
              <w:bottom w:type="dxa" w:w="90"/>
              <w:right w:type="dxa" w:w="110"/>
            </w:tcMar>
          </w:tcPr>
          <w:p>
            <w:r>
              <w:rPr>
                <w:rFonts w:ascii="Calibri" w:cs="Calibri" w:eastAsia="Calibri" w:hAnsi="Calibri"/>
                <w:b/>
                <w:bCs/>
                <w:color w:val="1F3864"/>
                <w:sz w:val="21"/>
                <w:szCs w:val="21"/>
              </w:rPr>
              <w:t xml:space="preserve">String Formatting (f-strings)</w:t>
            </w:r>
          </w:p>
        </w:tc>
        <w:tc>
          <w:tcPr>
            <w:tcW w:type="dxa" w:w="6400"/>
            <w:tcBorders>
              <w:top w:val="single" w:color="9DB6CE" w:sz="4"/>
              <w:left w:val="single" w:color="9DB6CE" w:sz="4"/>
              <w:bottom w:val="single" w:color="9DB6CE" w:sz="4"/>
              <w:right w:val="single" w:color="9DB6CE" w:sz="4"/>
            </w:tcBorders>
            <w:tcMar>
              <w:top w:type="dxa" w:w="90"/>
              <w:left w:type="dxa" w:w="110"/>
              <w:bottom w:type="dxa" w:w="90"/>
              <w:right w:type="dxa" w:w="110"/>
            </w:tcMar>
          </w:tcPr>
          <w:p>
            <w:r>
              <w:rPr>
                <w:rFonts w:ascii="Calibri" w:cs="Calibri" w:eastAsia="Calibri" w:hAnsi="Calibri"/>
                <w:sz w:val="21"/>
                <w:szCs w:val="21"/>
              </w:rPr>
              <w:t xml:space="preserve">Rendering descriptive, rule-specific validation error messages</w:t>
            </w:r>
          </w:p>
        </w:tc>
      </w:tr>
      <w:tr>
        <w:tc>
          <w:tcPr>
            <w:tcW w:type="dxa" w:w="3000"/>
            <w:tcBorders>
              <w:top w:val="single" w:color="9DB6CE" w:sz="4"/>
              <w:left w:val="single" w:color="9DB6CE" w:sz="4"/>
              <w:bottom w:val="single" w:color="9DB6CE" w:sz="4"/>
              <w:right w:val="single" w:color="9DB6CE" w:sz="4"/>
            </w:tcBorders>
            <w:shd w:fill="DCE6F1" w:color="auto" w:val="clear"/>
            <w:tcMar>
              <w:top w:type="dxa" w:w="90"/>
              <w:left w:type="dxa" w:w="110"/>
              <w:bottom w:type="dxa" w:w="90"/>
              <w:right w:type="dxa" w:w="110"/>
            </w:tcMar>
          </w:tcPr>
          <w:p>
            <w:r>
              <w:rPr>
                <w:rFonts w:ascii="Calibri" w:cs="Calibri" w:eastAsia="Calibri" w:hAnsi="Calibri"/>
                <w:b/>
                <w:bCs/>
                <w:color w:val="1F3864"/>
                <w:sz w:val="21"/>
                <w:szCs w:val="21"/>
              </w:rPr>
              <w:t xml:space="preserve">Functions &amp; Control Flow</w:t>
            </w:r>
          </w:p>
        </w:tc>
        <w:tc>
          <w:tcPr>
            <w:tcW w:type="dxa" w:w="6400"/>
            <w:tcBorders>
              <w:top w:val="single" w:color="9DB6CE" w:sz="4"/>
              <w:left w:val="single" w:color="9DB6CE" w:sz="4"/>
              <w:bottom w:val="single" w:color="9DB6CE" w:sz="4"/>
              <w:right w:val="single" w:color="9DB6CE" w:sz="4"/>
            </w:tcBorders>
            <w:tcMar>
              <w:top w:type="dxa" w:w="90"/>
              <w:left w:type="dxa" w:w="110"/>
              <w:bottom w:type="dxa" w:w="90"/>
              <w:right w:type="dxa" w:w="110"/>
            </w:tcMar>
          </w:tcPr>
          <w:p>
            <w:r>
              <w:rPr>
                <w:rFonts w:ascii="Calibri" w:cs="Calibri" w:eastAsia="Calibri" w:hAnsi="Calibri"/>
                <w:sz w:val="21"/>
                <w:szCs w:val="21"/>
              </w:rPr>
              <w:t xml:space="preserve">Modularising local-part, domain and overall email validation logic</w:t>
            </w:r>
          </w:p>
        </w:tc>
      </w:tr>
    </w:tbl>
    <w:p>
      <w:pPr>
        <w:pStyle w:val="Heading1"/>
        <w:pBdr>
          <w:bottom w:val="single" w:color="2E74B5" w:sz="4" w:space="2"/>
        </w:pBdr>
        <w:spacing w:after="150" w:before="300"/>
      </w:pPr>
      <w:r>
        <w:rPr>
          <w:rFonts w:ascii="Calibri" w:cs="Calibri" w:eastAsia="Calibri" w:hAnsi="Calibri"/>
          <w:b/>
          <w:bCs/>
          <w:color w:val="1F4E79"/>
          <w:sz w:val="27"/>
          <w:szCs w:val="27"/>
        </w:rPr>
        <w:t xml:space="preserve">11. References</w:t>
      </w:r>
    </w:p>
    <w:p>
      <w:pPr>
        <w:pStyle w:val="ListParagraph"/>
        <w:numPr>
          <w:ilvl w:val="0"/>
          <w:numId w:val="1"/>
        </w:numPr>
        <w:spacing w:after="80"/>
      </w:pPr>
      <w:r>
        <w:rPr>
          <w:rFonts w:ascii="Calibri" w:cs="Calibri" w:eastAsia="Calibri" w:hAnsi="Calibri"/>
          <w:sz w:val="22"/>
          <w:szCs w:val="22"/>
        </w:rPr>
        <w:t xml:space="preserve">Python Official Documentation: https://docs.python.org/3/</w:t>
      </w:r>
    </w:p>
    <w:p>
      <w:pPr>
        <w:pStyle w:val="ListParagraph"/>
        <w:numPr>
          <w:ilvl w:val="0"/>
          <w:numId w:val="1"/>
        </w:numPr>
        <w:spacing w:after="80"/>
      </w:pPr>
      <w:r>
        <w:rPr>
          <w:rFonts w:ascii="Calibri" w:cs="Calibri" w:eastAsia="Calibri" w:hAnsi="Calibri"/>
          <w:sz w:val="22"/>
          <w:szCs w:val="22"/>
        </w:rPr>
        <w:t xml:space="preserve">Python String Methods Reference: https://docs.python.org/3/library/stdtypes.html#string-methods</w:t>
      </w:r>
    </w:p>
    <w:p>
      <w:pPr>
        <w:pStyle w:val="ListParagraph"/>
        <w:numPr>
          <w:ilvl w:val="0"/>
          <w:numId w:val="1"/>
        </w:numPr>
        <w:spacing w:after="80"/>
      </w:pPr>
      <w:r>
        <w:rPr>
          <w:rFonts w:ascii="Calibri" w:cs="Calibri" w:eastAsia="Calibri" w:hAnsi="Calibri"/>
          <w:sz w:val="22"/>
          <w:szCs w:val="22"/>
        </w:rPr>
        <w:t xml:space="preserve">IANA List of Top-Level Domains: https://www.iana.org/domains/root/db</w:t>
      </w:r>
    </w:p>
    <w:p>
      <w:pPr>
        <w:pStyle w:val="ListParagraph"/>
        <w:numPr>
          <w:ilvl w:val="0"/>
          <w:numId w:val="1"/>
        </w:numPr>
        <w:spacing w:after="80"/>
      </w:pPr>
      <w:r>
        <w:rPr>
          <w:rFonts w:ascii="Calibri" w:cs="Calibri" w:eastAsia="Calibri" w:hAnsi="Calibri"/>
          <w:sz w:val="22"/>
          <w:szCs w:val="22"/>
        </w:rPr>
        <w:t xml:space="preserve">Brainware University - Machine Learning Course Guidelines</w:t>
      </w:r>
    </w:p>
    <w:p>
      <w:pPr>
        <w:pStyle w:val="Heading1"/>
        <w:pBdr>
          <w:bottom w:val="single" w:color="2E74B5" w:sz="4" w:space="2"/>
        </w:pBdr>
        <w:spacing w:after="150" w:before="300"/>
      </w:pPr>
      <w:r>
        <w:rPr>
          <w:rFonts w:ascii="Calibri" w:cs="Calibri" w:eastAsia="Calibri" w:hAnsi="Calibri"/>
          <w:b/>
          <w:bCs/>
          <w:color w:val="1F4E79"/>
          <w:sz w:val="27"/>
          <w:szCs w:val="27"/>
        </w:rPr>
        <w:t xml:space="preserve">12. Signatures</w:t>
      </w:r>
    </w:p>
    <w:p>
      <w:pPr>
        <w:spacing w:after="400" w:before="200"/>
      </w:pPr>
      <w:r>
        <w:rPr>
          <w:rFonts w:ascii="Calibri" w:cs="Calibri" w:eastAsia="Calibri" w:hAnsi="Calibri"/>
          <w:b/>
          <w:bCs/>
          <w:sz w:val="21"/>
          <w:szCs w:val="21"/>
        </w:rPr>
        <w:t xml:space="preserve">Signature of Student(s):</w:t>
      </w:r>
      <w:r>
        <w:rPr>
          <w:rFonts w:ascii="Calibri" w:cs="Calibri" w:eastAsia="Calibri" w:hAnsi="Calibri"/>
          <w:b/>
          <w:bCs/>
          <w:sz w:val="21"/>
          <w:szCs w:val="21"/>
        </w:rPr>
        <w:t xml:space="preserve">					Date of Submission:</w:t>
      </w:r>
    </w:p>
    <w:p>
      <w:pPr>
        <w:pBdr>
          <w:bottom w:val="single" w:color="808080" w:sz="4" w:space="1"/>
        </w:pBdr>
        <w:spacing w:after="300"/>
      </w:pPr>
      <w:r>
        <w:t xml:space="preserve"/>
      </w:r>
    </w:p>
    <w:p>
      <w:pPr>
        <w:spacing w:after="300" w:before="200"/>
      </w:pPr>
      <w:r>
        <w:rPr>
          <w:rFonts w:ascii="Calibri" w:cs="Calibri" w:eastAsia="Calibri" w:hAnsi="Calibri"/>
          <w:b/>
          <w:bCs/>
          <w:sz w:val="21"/>
          <w:szCs w:val="21"/>
        </w:rPr>
        <w:t xml:space="preserve">Signature of Guide/Supervisor:</w:t>
      </w:r>
    </w:p>
    <w:p>
      <w:pPr>
        <w:pBdr>
          <w:bottom w:val="single" w:color="808080" w:sz="4" w:space="1"/>
        </w:pBdr>
        <w:spacing w:after="200"/>
      </w:pPr>
      <w:r>
        <w:t xml:space="preserve"/>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8" w:space="4"/>
      </w:pBdr>
      <w:tabs>
        <w:tab w:val="right" w:pos="9026"/>
      </w:tabs>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 Email Validation System | Week 4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s="Calibri" w:eastAsia="Calibri" w:hAnsi="Calibri"/>
        <w:b/>
        <w:bCs/>
        <w:color w:val="1F3864"/>
        <w:sz w:val="18"/>
        <w:szCs w:val="18"/>
      </w:rPr>
      <w:t xml:space="preserve">BRAINWARE UNIVERSITY</w:t>
    </w:r>
  </w:p>
  <w:p>
    <w:pPr>
      <w:pBdr>
        <w:bottom w:val="single" w:color="2E74B5" w:sz="8" w:space="4"/>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2026-08-04T18:25:04.340Z</dcterms:created>
  <dcterms:modified xsi:type="dcterms:W3CDTF">2026-08-04T18:25:04.340Z</dcterms:modified>
</cp:coreProperties>
</file>

<file path=docProps/custom.xml><?xml version="1.0" encoding="utf-8"?>
<Properties xmlns="http://schemas.openxmlformats.org/officeDocument/2006/custom-properties" xmlns:vt="http://schemas.openxmlformats.org/officeDocument/2006/docPropsVTypes"/>
</file>