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&lt;title&gt;Typography&lt;/title&gt;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&lt;style&gt;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body 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.text1 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color: red;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text-decoration: overline;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.text2 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color: #71ffb0;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text-decoration: line-through;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.text3 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color: rgb(70, 98, 120);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text-decoration: underline;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.text4 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color: rgba(0, 0, 0, 0.4);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text-decoration: underline overline;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.p1 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font-family: "Times New Roman", Times, serif;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.p2 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font-family: Arial, Helvetica, sans-serif;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&lt;/style&gt;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&lt;h1&gt;Typography with food&lt;/h1&gt;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&lt;div class="text1"&gt;Food, substance consisting essentially of protein, carbohydrate, fat, and other nutrients used in the body of an organism to sustain growth and vital processes and to furnish energy.&lt;/div&gt;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&lt;div class="text2"&gt;The absorption and utilization of food by the body is fundamental to nutrition and is facilitated by digestion. &lt;/div&gt;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&lt;div class="text3"&gt;Plants, which convert solar energy to food by photosynthesis, are the primary food source. &lt;/div&gt;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&lt;p class="p1"&gt;Animals that feed on plants often serve as sources of food for other animals. &lt;/p&gt;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&lt;p class="p2"&gt;Food is treated in a number of articles. For a description of the processes of absorption and utilization of food, see nutrition; nutrition, human; digestion; and digestive system, human. &lt;/p&gt;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