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r w:rsidRPr="00EA2B7D">
        <w:rPr>
          <w:b/>
          <w:bCs/>
          <w:i/>
          <w:iCs/>
          <w:sz w:val="30"/>
          <w:szCs w:val="30"/>
        </w:rPr>
        <w:t>Producers :</w:t>
      </w:r>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r w:rsidRPr="00EA2B7D">
        <w:rPr>
          <w:b/>
          <w:bCs/>
          <w:i/>
          <w:iCs/>
          <w:sz w:val="30"/>
          <w:szCs w:val="30"/>
          <w:lang w:bidi="fa-IR"/>
        </w:rPr>
        <w:t>Supervisor :</w:t>
      </w:r>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Dr Mohammad Reza Sharbaf</w:t>
      </w:r>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Teacher assistant :</w:t>
      </w:r>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000000" w:rsidP="005B1EA3">
          <w:pPr>
            <w:pStyle w:val="TOC1"/>
            <w:rPr>
              <w:rStyle w:val="Hyperlink"/>
              <w:b w:val="0"/>
              <w:bCs w:val="0"/>
              <w:u w:val="none"/>
            </w:rPr>
          </w:pPr>
          <w:hyperlink w:anchor="_your_account" w:history="1">
            <w:r w:rsidR="005B1EA3"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6F85F838" w14:textId="16775C55" w:rsidR="00E12BD4" w:rsidRPr="005B1EA3" w:rsidRDefault="00C53D98" w:rsidP="00E12BD4">
          <w:pPr>
            <w:pStyle w:val="TOC1"/>
            <w:rPr>
              <w:rStyle w:val="Hyperlink"/>
              <w:b w:val="0"/>
              <w:bCs w:val="0"/>
              <w:u w:val="none"/>
            </w:rPr>
          </w:pPr>
          <w:hyperlink w:anchor="_subscription_period" w:history="1">
            <w:r w:rsidRPr="00C53D98">
              <w:rPr>
                <w:rStyle w:val="Hyperlink"/>
                <w:b w:val="0"/>
                <w:bCs w:val="0"/>
                <w:u w:val="none"/>
              </w:rPr>
              <w:t>Subscription Period</w:t>
            </w:r>
            <w:r w:rsidR="00E12BD4" w:rsidRPr="00C53D98">
              <w:rPr>
                <w:rStyle w:val="Hyperlink"/>
                <w:b w:val="0"/>
                <w:bCs w:val="0"/>
                <w:u w:val="none"/>
              </w:rPr>
              <w:t xml:space="preserve"> </w:t>
            </w:r>
            <w:r w:rsidR="00E12BD4" w:rsidRPr="00C53D98">
              <w:rPr>
                <w:rStyle w:val="Hyperlink"/>
                <w:b w:val="0"/>
                <w:bCs w:val="0"/>
                <w:u w:val="none"/>
              </w:rPr>
              <w:ptab w:relativeTo="margin" w:alignment="right" w:leader="dot"/>
            </w:r>
            <w:r w:rsidRPr="00C53D98">
              <w:rPr>
                <w:rStyle w:val="Hyperlink"/>
                <w:b w:val="0"/>
                <w:bCs w:val="0"/>
                <w:u w:val="none"/>
              </w:rPr>
              <w:t>2</w:t>
            </w:r>
          </w:hyperlink>
        </w:p>
        <w:p w14:paraId="03EDED7E" w14:textId="77777777" w:rsidR="006F5075" w:rsidRPr="006F5075" w:rsidRDefault="006F5075" w:rsidP="006F5075">
          <w:pPr>
            <w:pStyle w:val="ListParagraph"/>
            <w:ind w:left="360"/>
          </w:pPr>
        </w:p>
        <w:p w14:paraId="66BD711A" w14:textId="77777777" w:rsidR="004423E9" w:rsidRDefault="004423E9" w:rsidP="004423E9"/>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64AC7BD1" w14:textId="77777777" w:rsidR="009854DE" w:rsidRDefault="009854DE" w:rsidP="009854DE"/>
    <w:p w14:paraId="324BC66D" w14:textId="77777777" w:rsidR="009854DE" w:rsidRDefault="009854DE" w:rsidP="009854DE"/>
    <w:p w14:paraId="6EA98E09" w14:textId="77777777" w:rsidR="009854DE" w:rsidRDefault="009854DE" w:rsidP="009854DE"/>
    <w:p w14:paraId="7B10370E" w14:textId="77777777" w:rsidR="007D728F" w:rsidRDefault="007D728F" w:rsidP="009854DE"/>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lastRenderedPageBreak/>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choose to use Box Sign, the electronic signing feature Box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Similarly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Community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C53D98"/>
    <w:p w14:paraId="03C27ED3" w14:textId="57881F52" w:rsidR="005B1EA3" w:rsidRDefault="005B1EA3" w:rsidP="001270D1">
      <w:pPr>
        <w:jc w:val="center"/>
      </w:pPr>
      <w:r>
        <w:t>1</w:t>
      </w:r>
    </w:p>
    <w:p w14:paraId="3E650FDE" w14:textId="6CA2BF7F" w:rsidR="00C53D98" w:rsidRPr="004423E9" w:rsidRDefault="00C53D98" w:rsidP="00C53D98">
      <w:pPr>
        <w:pStyle w:val="Heading1"/>
      </w:pPr>
      <w:bookmarkStart w:id="2" w:name="_subscription_period"/>
      <w:bookmarkEnd w:id="2"/>
      <w:r>
        <w:lastRenderedPageBreak/>
        <w:t>subscription period</w:t>
      </w:r>
    </w:p>
    <w:p w14:paraId="21D01B57" w14:textId="434CEB22" w:rsidR="00C53D98" w:rsidRPr="00C53D98" w:rsidRDefault="00C53D98" w:rsidP="00C53D98">
      <w:pPr>
        <w:rPr>
          <w:rFonts w:asciiTheme="majorBidi" w:hAnsiTheme="majorBidi" w:cstheme="majorBidi"/>
          <w:sz w:val="22"/>
          <w:szCs w:val="22"/>
        </w:rPr>
      </w:pPr>
      <w:r w:rsidRPr="00C53D98">
        <w:rPr>
          <w:rFonts w:asciiTheme="majorBidi" w:hAnsiTheme="majorBidi" w:cstheme="majorBidi"/>
          <w:sz w:val="22"/>
          <w:szCs w:val="22"/>
        </w:rPr>
        <w:t>You may elect one of the following subscription plans and billing options (please note that there might be only one of these options available depending on the Service purchased):</w:t>
      </w:r>
    </w:p>
    <w:p w14:paraId="1CBD33EF" w14:textId="78E55CE0"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 monthly subscription plan ("Monthly Subscription Plan"). The subscription period for the Monthly Subscription Plan will be for one month and will automatically renew (without the need to go through the Services-interface "check-out" or execute a renewal order form) unless you cancel your Monthly Subscription Plan at least three (3) business days prior to the renewal date. You will be billed on or about the same day each month until such time that you cancel.</w:t>
      </w:r>
    </w:p>
    <w:p w14:paraId="14A4AC07" w14:textId="77777777" w:rsidR="00C53D98" w:rsidRPr="00C53D98" w:rsidRDefault="00C53D98" w:rsidP="00C53D98">
      <w:pPr>
        <w:pStyle w:val="ListParagraph"/>
        <w:jc w:val="both"/>
        <w:rPr>
          <w:rFonts w:asciiTheme="majorBidi" w:hAnsiTheme="majorBidi" w:cstheme="majorBidi"/>
          <w:sz w:val="22"/>
          <w:szCs w:val="22"/>
        </w:rPr>
      </w:pPr>
    </w:p>
    <w:p w14:paraId="7C7B8F85" w14:textId="1229024D"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An annual subscription plan ("Annual Subscription Plan"). The subscription period for the Annual Subscription Plan will be for one year and will automatically renew (without the need to go through the Services-interface "check-out" or execute a renewal Order Form) for additional periods equal to one (1) year each year on the anniversary unless you cancel at least three (3) business days prior to your renewal date. You will be billed annually on or about the same day each year until such time that you cancel. Note that under the Annual Subscription Plan you will not be permitted to cancel, reduce the number of seats, or downgrade the Box Service you have selected until the anniversary date. Be aware that you are committing to a one-year plan; if you are not certain, we recommend choosing the Monthly Subscription Plan.</w:t>
      </w:r>
    </w:p>
    <w:p w14:paraId="689B4315" w14:textId="77777777" w:rsidR="00C53D98" w:rsidRPr="00C53D98" w:rsidRDefault="00C53D98" w:rsidP="00C53D98">
      <w:pPr>
        <w:pStyle w:val="ListParagraph"/>
        <w:jc w:val="both"/>
        <w:rPr>
          <w:rFonts w:asciiTheme="majorBidi" w:hAnsiTheme="majorBidi" w:cstheme="majorBidi"/>
          <w:sz w:val="22"/>
          <w:szCs w:val="22"/>
        </w:rPr>
      </w:pPr>
    </w:p>
    <w:p w14:paraId="7E918D9D" w14:textId="4A4A0071"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If you select the Monthly Subscription Plan, you can switch to the Annual Subscription Plan at any time. If you select the Annual Subscription Plan, you may not change to the Monthly Subscription Plan until the end of the one-year term of your Annual Subscription Plan.</w:t>
      </w:r>
    </w:p>
    <w:p w14:paraId="7B8CE78D" w14:textId="77777777" w:rsidR="00C53D98" w:rsidRPr="00C53D98" w:rsidRDefault="00C53D98" w:rsidP="00C53D98">
      <w:pPr>
        <w:pStyle w:val="ListParagraph"/>
        <w:jc w:val="both"/>
        <w:rPr>
          <w:rFonts w:asciiTheme="majorBidi" w:hAnsiTheme="majorBidi" w:cstheme="majorBidi"/>
          <w:sz w:val="22"/>
          <w:szCs w:val="22"/>
        </w:rPr>
      </w:pPr>
    </w:p>
    <w:p w14:paraId="5046923D" w14:textId="30F2BD2B"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Where required by law, you may have a legal right to cancel your subscription, pursuant to Section 20, during the prescribed timeframe of your initial subscription period. If you are entitled to this right by law, your cancellation request will be processed within three (3) business days, and you will receive a prorated refund of any unused prepaid fees.</w:t>
      </w:r>
    </w:p>
    <w:p w14:paraId="16CA2C55" w14:textId="77777777" w:rsidR="000C1CC1" w:rsidRPr="000C1CC1" w:rsidRDefault="000C1CC1" w:rsidP="000C1CC1"/>
    <w:p w14:paraId="3869AB9D" w14:textId="77777777" w:rsidR="000C1CC1" w:rsidRPr="000C1CC1" w:rsidRDefault="000C1CC1" w:rsidP="000C1CC1"/>
    <w:p w14:paraId="41C45B92" w14:textId="77777777" w:rsidR="000C1CC1" w:rsidRPr="000C1CC1" w:rsidRDefault="000C1CC1" w:rsidP="000C1CC1"/>
    <w:p w14:paraId="1F691B67" w14:textId="77777777" w:rsidR="000C1CC1" w:rsidRPr="000C1CC1" w:rsidRDefault="000C1CC1" w:rsidP="000C1CC1"/>
    <w:p w14:paraId="0A0B02CE" w14:textId="77777777" w:rsidR="000C1CC1" w:rsidRPr="000C1CC1" w:rsidRDefault="000C1CC1" w:rsidP="000C1CC1"/>
    <w:p w14:paraId="7383818D" w14:textId="77777777" w:rsidR="000C1CC1" w:rsidRPr="000C1CC1" w:rsidRDefault="000C1CC1" w:rsidP="000C1CC1"/>
    <w:p w14:paraId="0B3A7790" w14:textId="77777777" w:rsidR="000C1CC1" w:rsidRPr="000C1CC1" w:rsidRDefault="000C1CC1" w:rsidP="000C1CC1"/>
    <w:p w14:paraId="5194E96C" w14:textId="77777777" w:rsidR="000C1CC1" w:rsidRDefault="000C1CC1" w:rsidP="000C1CC1">
      <w:pPr>
        <w:rPr>
          <w:rFonts w:asciiTheme="majorBidi" w:hAnsiTheme="majorBidi" w:cstheme="majorBidi"/>
          <w:sz w:val="22"/>
          <w:szCs w:val="22"/>
          <w:rtl/>
        </w:rPr>
      </w:pPr>
    </w:p>
    <w:p w14:paraId="1C9F1583" w14:textId="1E08FE63" w:rsidR="000C1CC1" w:rsidRPr="000C1CC1" w:rsidRDefault="000C1CC1" w:rsidP="000C1CC1">
      <w:pPr>
        <w:jc w:val="center"/>
      </w:pPr>
      <w:r>
        <w:rPr>
          <w:rFonts w:hint="cs"/>
          <w:rtl/>
        </w:rPr>
        <w:t>2</w:t>
      </w:r>
    </w:p>
    <w:sectPr w:rsidR="000C1CC1" w:rsidRPr="000C1CC1" w:rsidSect="00FA3BDB">
      <w:headerReference w:type="even" r:id="rId12"/>
      <w:headerReference w:type="default" r:id="rId13"/>
      <w:footerReference w:type="even" r:id="rId14"/>
      <w:footerReference w:type="default" r:id="rId15"/>
      <w:headerReference w:type="first" r:id="rId16"/>
      <w:footerReference w:type="first" r:id="rId17"/>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62D5F" w14:textId="77777777" w:rsidR="00FA3BDB" w:rsidRDefault="00FA3BDB" w:rsidP="00881D9E">
      <w:pPr>
        <w:spacing w:before="0" w:after="0" w:line="240" w:lineRule="auto"/>
      </w:pPr>
      <w:r>
        <w:separator/>
      </w:r>
    </w:p>
  </w:endnote>
  <w:endnote w:type="continuationSeparator" w:id="0">
    <w:p w14:paraId="217D14A5" w14:textId="77777777" w:rsidR="00FA3BDB" w:rsidRDefault="00FA3BDB"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54F6D" w14:textId="77777777" w:rsidR="00FA3BDB" w:rsidRDefault="00FA3BDB" w:rsidP="00881D9E">
      <w:pPr>
        <w:spacing w:before="0" w:after="0" w:line="240" w:lineRule="auto"/>
      </w:pPr>
      <w:r>
        <w:separator/>
      </w:r>
    </w:p>
  </w:footnote>
  <w:footnote w:type="continuationSeparator" w:id="0">
    <w:p w14:paraId="0010C3D3" w14:textId="77777777" w:rsidR="00FA3BDB" w:rsidRDefault="00FA3BDB"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0E5394E"/>
    <w:multiLevelType w:val="hybridMultilevel"/>
    <w:tmpl w:val="6A4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FC93F37"/>
    <w:multiLevelType w:val="hybridMultilevel"/>
    <w:tmpl w:val="D63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72540A"/>
    <w:multiLevelType w:val="multilevel"/>
    <w:tmpl w:val="0409001D"/>
    <w:numStyleLink w:val="Style1"/>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6"/>
  </w:num>
  <w:num w:numId="3" w16cid:durableId="1361394705">
    <w:abstractNumId w:val="18"/>
  </w:num>
  <w:num w:numId="4" w16cid:durableId="1593582059">
    <w:abstractNumId w:val="13"/>
  </w:num>
  <w:num w:numId="5" w16cid:durableId="1929649696">
    <w:abstractNumId w:val="2"/>
  </w:num>
  <w:num w:numId="6" w16cid:durableId="863329154">
    <w:abstractNumId w:val="3"/>
  </w:num>
  <w:num w:numId="7" w16cid:durableId="193732526">
    <w:abstractNumId w:val="7"/>
  </w:num>
  <w:num w:numId="8" w16cid:durableId="2036805418">
    <w:abstractNumId w:val="15"/>
  </w:num>
  <w:num w:numId="9" w16cid:durableId="1158155882">
    <w:abstractNumId w:val="8"/>
  </w:num>
  <w:num w:numId="10" w16cid:durableId="445925702">
    <w:abstractNumId w:val="4"/>
  </w:num>
  <w:num w:numId="11" w16cid:durableId="808739938">
    <w:abstractNumId w:val="11"/>
  </w:num>
  <w:num w:numId="12" w16cid:durableId="1734230531">
    <w:abstractNumId w:val="9"/>
  </w:num>
  <w:num w:numId="13" w16cid:durableId="176118097">
    <w:abstractNumId w:val="12"/>
  </w:num>
  <w:num w:numId="14" w16cid:durableId="1976448695">
    <w:abstractNumId w:val="0"/>
  </w:num>
  <w:num w:numId="15" w16cid:durableId="964390712">
    <w:abstractNumId w:val="19"/>
  </w:num>
  <w:num w:numId="16" w16cid:durableId="1510560444">
    <w:abstractNumId w:val="14"/>
  </w:num>
  <w:num w:numId="17" w16cid:durableId="513424934">
    <w:abstractNumId w:val="1"/>
  </w:num>
  <w:num w:numId="18" w16cid:durableId="1827823278">
    <w:abstractNumId w:val="17"/>
  </w:num>
  <w:num w:numId="19" w16cid:durableId="2070570228">
    <w:abstractNumId w:val="6"/>
  </w:num>
  <w:num w:numId="20" w16cid:durableId="46289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0C1CC1"/>
    <w:rsid w:val="00116F0E"/>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33AAE"/>
    <w:rsid w:val="003467B0"/>
    <w:rsid w:val="00352776"/>
    <w:rsid w:val="00360E12"/>
    <w:rsid w:val="003C5781"/>
    <w:rsid w:val="003F0B26"/>
    <w:rsid w:val="00400FD6"/>
    <w:rsid w:val="004423E9"/>
    <w:rsid w:val="00475DDE"/>
    <w:rsid w:val="00496CC0"/>
    <w:rsid w:val="004F508F"/>
    <w:rsid w:val="00503D85"/>
    <w:rsid w:val="00504423"/>
    <w:rsid w:val="005B1EA3"/>
    <w:rsid w:val="005D4454"/>
    <w:rsid w:val="005E12AE"/>
    <w:rsid w:val="005F0DA8"/>
    <w:rsid w:val="006448F9"/>
    <w:rsid w:val="00675B0D"/>
    <w:rsid w:val="006D2527"/>
    <w:rsid w:val="006E1FA5"/>
    <w:rsid w:val="006F5075"/>
    <w:rsid w:val="00786F94"/>
    <w:rsid w:val="007B2FF3"/>
    <w:rsid w:val="007B6CC9"/>
    <w:rsid w:val="007D41F5"/>
    <w:rsid w:val="007D6AD5"/>
    <w:rsid w:val="007D728F"/>
    <w:rsid w:val="00822752"/>
    <w:rsid w:val="00857E08"/>
    <w:rsid w:val="00881D9E"/>
    <w:rsid w:val="008C1596"/>
    <w:rsid w:val="008F0D50"/>
    <w:rsid w:val="00925D79"/>
    <w:rsid w:val="00946455"/>
    <w:rsid w:val="009613F5"/>
    <w:rsid w:val="009854DE"/>
    <w:rsid w:val="009A438F"/>
    <w:rsid w:val="009B15D0"/>
    <w:rsid w:val="009C119C"/>
    <w:rsid w:val="009D1ED8"/>
    <w:rsid w:val="00A12F24"/>
    <w:rsid w:val="00AA1ED4"/>
    <w:rsid w:val="00AC1CE7"/>
    <w:rsid w:val="00AC685C"/>
    <w:rsid w:val="00AF6695"/>
    <w:rsid w:val="00B00C8F"/>
    <w:rsid w:val="00B16ADA"/>
    <w:rsid w:val="00B413E4"/>
    <w:rsid w:val="00B72F5C"/>
    <w:rsid w:val="00B9484A"/>
    <w:rsid w:val="00B968D3"/>
    <w:rsid w:val="00C51337"/>
    <w:rsid w:val="00C53026"/>
    <w:rsid w:val="00C53D98"/>
    <w:rsid w:val="00C60997"/>
    <w:rsid w:val="00C61A81"/>
    <w:rsid w:val="00C644FD"/>
    <w:rsid w:val="00CC1E64"/>
    <w:rsid w:val="00CD416F"/>
    <w:rsid w:val="00D104D3"/>
    <w:rsid w:val="00D31751"/>
    <w:rsid w:val="00D34461"/>
    <w:rsid w:val="00D73433"/>
    <w:rsid w:val="00DB7798"/>
    <w:rsid w:val="00DF2056"/>
    <w:rsid w:val="00E12BD4"/>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3BDB"/>
    <w:rsid w:val="00FA4C4B"/>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37</cp:revision>
  <cp:lastPrinted>2023-10-28T21:30:00Z</cp:lastPrinted>
  <dcterms:created xsi:type="dcterms:W3CDTF">2023-10-22T14:10:00Z</dcterms:created>
  <dcterms:modified xsi:type="dcterms:W3CDTF">2024-01-15T19:23:00Z</dcterms:modified>
</cp:coreProperties>
</file>