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FFFFFF"/>
          <w:sz w:val="48"/>
          <w:szCs w:val="48"/>
        </w:rPr>
        <w:br/>
        <w:t xml:space="preserve">BUSINESS PLAN: CELLUPULP BD LTD.</w:t>
      </w:r>
      <w:r>
        <w:rPr>
          <w:color w:val="FFFFFF"/>
          <w:sz w:val="24"/>
          <w:szCs w:val="24"/>
        </w:rPr>
        <w:br/>
        <w:t xml:space="preserve">Strategic Import Substitution for Bangladesh’s Hygiene Sector</w:t>
      </w:r>
      <w:r>
        <w:rPr>
          <w:color w:val="FFFFFF"/>
          <w:sz w:val="20"/>
          <w:szCs w:val="20"/>
        </w:rPr>
        <w:br/>
        <w:br/>
        <w:br/>
        <w:br/>
        <w:br/>
        <w:t xml:space="preserve">April 2026</w:t>
      </w:r>
    </w:p>
    <w:p>
      <w:pPr>
        <w:sectPr>
          <w:type w:val="nextPage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r>
        <w:rPr>
          <w:b/>
          <w:bCs/>
        </w:rPr>
        <w:br/>
        <w:t xml:space="preserve">The Pitch</w:t>
      </w:r>
      <w:r>
        <w:br/>
        <w:t xml:space="preserve">Bangladesh’s hygiene sector is currently crippled by a heavy reliance on imported wood fluff pulp, exacerbated by global dollar liquidity crises. CelluPulp BD offers a localized, sustainable solution by utilizing jute and bamboo to produce hygiene-grade pulp right here in Bangladesh.</w:t>
      </w:r>
    </w:p>
    <w:p>
      <w:pPr>
        <w:pStyle w:val="Heading1"/>
      </w:pPr>
      <w:r>
        <w:t xml:space="preserve">2. Business Model</w:t>
      </w:r>
    </w:p>
    <w:p>
      <w:r>
        <w:t xml:space="preserve">CelluPulp BD operates on a B2B 'Secondary Supplier' model, targeting Tier 1 and Tier 2 hygiene brands. Our cost leadership and local currency transactions provide a significant competitive 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Value Proposition</w:t>
            </w:r>
          </w:p>
        </w:tc>
        <w:tc>
          <w:p>
            <w:r>
              <w:t xml:space="preserve">15-25% cost reduction and elimination of LC/Forex risks.</w:t>
            </w:r>
          </w:p>
        </w:tc>
      </w:tr>
      <w:tr>
        <w:tc>
          <w:p>
            <w:r>
              <w:t xml:space="preserve">Key Partners</w:t>
            </w:r>
          </w:p>
        </w:tc>
        <w:tc>
          <w:p>
            <w:r>
              <w:t xml:space="preserve">Farmer cooperatives and domestic FMCG converters.</w:t>
            </w:r>
          </w:p>
        </w:tc>
      </w:tr>
    </w:tbl>
    <w:p>
      <w:pPr>
        <w:pStyle w:val="Heading1"/>
      </w:pPr>
      <w:r>
        <w:t xml:space="preserve">3. Market Analysis</w:t>
      </w:r>
    </w:p>
    <w:p>
      <w:r>
        <w:t xml:space="preserve">The market for hygiene products in Bangladesh is seeing a 15% CAGR, creating a massive opportunity for local raw material production.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
Figure 1: Market Demand Forecast ($M USD)</w:t>
      </w:r>
    </w:p>
    <w:p>
      <w:pPr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
Figure 2: Localization Potential and Share</w:t>
      </w:r>
    </w:p>
    <w:p>
      <w:pPr>
        <w:pStyle w:val="Heading1"/>
      </w:pPr>
      <w:r>
        <w:t xml:space="preserve">4. Financial Plan</w:t>
      </w:r>
    </w:p>
    <w:p>
      <w:r>
        <w:t xml:space="preserve">The financial outlook reflects a typical industrial J-curve, with profitability achieved in Year 3 as capacity utilization reaches optimal levels.</w:t>
      </w:r>
    </w:p>
    <w:p>
      <w:pPr>
        <w:jc w:val="center"/>
      </w:pPr>
      <w:r>
        <w:drawing>
          <wp:inline distT="0" distB="0" distL="0" distR="0">
            <wp:extent cx="4286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28625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
Figure 3: Revenue and Profitability Projections</w:t>
      </w:r>
    </w:p>
    <w:p>
      <w:pPr>
        <w:pStyle w:val="Heading2"/>
      </w:pPr>
      <w:r>
        <w:t xml:space="preserve">4.1 Sales Forecast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Year 1</w:t>
            </w:r>
          </w:p>
        </w:tc>
        <w:tc>
          <w:tcPr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Year 2</w:t>
            </w:r>
          </w:p>
        </w:tc>
        <w:tc>
          <w:tcPr>
            <w:shd w:fill="0D9488" w:val="clear"/>
          </w:tcPr>
          <w:p>
            <w:r>
              <w:rPr>
                <w:b/>
                <w:bCs/>
                <w:color w:val="FFFFFF"/>
              </w:rPr>
              <w:t xml:space="preserve">Year 3</w:t>
            </w:r>
          </w:p>
        </w:tc>
      </w:tr>
      <w:tr>
        <w:tc>
          <w:p>
            <w:r>
              <w:t xml:space="preserve">Capacity Util.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75%</w:t>
            </w:r>
          </w:p>
        </w:tc>
        <w:tc>
          <w:p>
            <w:r>
              <w:t xml:space="preserve">90%</w:t>
            </w:r>
          </w:p>
        </w:tc>
      </w:tr>
      <w:tr>
        <w:tc>
          <w:p>
            <w:r>
              <w:t xml:space="preserve">Revenue (M BDT)</w:t>
            </w:r>
          </w:p>
        </w:tc>
        <w:tc>
          <w:p>
            <w:r>
              <w:t xml:space="preserve">240.0</w:t>
            </w:r>
          </w:p>
        </w:tc>
        <w:tc>
          <w:p>
            <w:r>
              <w:t xml:space="preserve">450.0</w:t>
            </w:r>
          </w:p>
        </w:tc>
        <w:tc>
          <w:p>
            <w:r>
              <w:t xml:space="preserve">540.0</w:t>
            </w:r>
          </w:p>
        </w:tc>
      </w:tr>
      <w:tr>
        <w:tc>
          <w:p>
            <w:r>
              <w:t xml:space="preserve">Net Income (M BDT)</w:t>
            </w:r>
          </w:p>
        </w:tc>
        <w:tc>
          <w:p>
            <w:r>
              <w:t xml:space="preserve">(108.0)</w:t>
            </w:r>
          </w:p>
        </w:tc>
        <w:tc>
          <w:p>
            <w:r>
              <w:t xml:space="preserve">(45.0)</w:t>
            </w:r>
          </w:p>
        </w:tc>
        <w:tc>
          <w:p>
            <w:r>
              <w:t xml:space="preserve">14.0</w:t>
            </w:r>
          </w:p>
        </w:tc>
      </w:tr>
    </w:tbl>
    <w:p>
      <w:pPr>
        <w:pStyle w:val="Heading1"/>
      </w:pPr>
      <w:r>
        <w:t xml:space="preserve">Bibliography</w:t>
      </w:r>
    </w:p>
    <w:p>
      <w:r>
        <w:t xml:space="preserve">Bangladesh Bank. (2026). </w:t>
      </w:r>
      <w:r>
        <w:t xml:space="preserve">Economic Data: Inflation and Forex Rates. </w:t>
      </w:r>
      <w:r>
        <w:t xml:space="preserve">Dhaka: BB Statistics Department.</w:t>
      </w:r>
      <w:r>
        <w:t xml:space="preserve">
FMCG Industry Reports. (2025). </w:t>
      </w:r>
      <w:r>
        <w:t xml:space="preserve">Import Estimates for Fluff Pulp (HS Code Volumes). </w:t>
      </w:r>
      <w:r>
        <w:t xml:space="preserve">Dhaka: Market Insights.</w:t>
      </w:r>
      <w:r>
        <w:t xml:space="preserve">
BEZA. (2025). </w:t>
      </w:r>
      <w:r>
        <w:t xml:space="preserve">Industrial Tariff and Land Lease Guidelines for Economic Zones. </w:t>
      </w:r>
      <w:r>
        <w:t xml:space="preserve">Dhaka: Prime Minister's Office.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drawing>
          <wp:inline distT="0" distB="0" distL="0" distR="0">
            <wp:extent cx="7772400" cy="1005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CelluPulp BD | Private &amp;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b/>
      <w:bCs/>
      <w:color w:val="0891B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859ac009f323980a847741faed1291523f9c545.png"/><Relationship Id="rId10" Type="http://schemas.openxmlformats.org/officeDocument/2006/relationships/image" Target="media/052d9f5bf329d50250865123a2fdad30f0bc4aa9.png"/><Relationship Id="rId11" Type="http://schemas.openxmlformats.org/officeDocument/2006/relationships/image" Target="media/74deabf85afad78143692d891bfc21e614cfe4d6.png"/><Relationship Id="rId12" Type="http://schemas.openxmlformats.org/officeDocument/2006/relationships/image" Target="media/06bb4b5d9ff16f5d25f2da43b861723ccce57a4a.png"/><Relationship Id="rId13" Type="http://schemas.openxmlformats.org/officeDocument/2006/relationships/image" Target="media/d1a53d46c3e66b71103e2121288f429a8bf700ed.png"/><Relationship Id="rId14" Type="http://schemas.openxmlformats.org/officeDocument/2006/relationships/image" Target="media/88ddf4d7c07c978eea52f6408188e1174d62a62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2026-04-27T17:00:34.202Z</dcterms:created>
  <dcterms:modified xsi:type="dcterms:W3CDTF">2026-04-27T17:00:34.218Z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