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120" w:before="0"/>
        <w:jc w:val="left"/>
      </w:pPr>
      <w:r>
        <w:rPr>
          <w:rFonts w:ascii="Calibri" w:cs="Calibri" w:eastAsia="Calibri" w:hAnsi="Calibri"/>
          <w:b/>
          <w:bCs/>
          <w:color w:val="000000"/>
          <w:sz w:val="56"/>
          <w:szCs w:val="56"/>
        </w:rPr>
        <w:t xml:space="preserve">Project Governance Framework</w:t>
      </w:r>
    </w:p>
    <w:p>
      <w:pPr>
        <w:spacing w:after="240" w:before="0"/>
        <w:jc w:val="left"/>
      </w:pPr>
      <w:r>
        <w:rPr>
          <w:rFonts w:ascii="Calibri" w:cs="Calibri" w:eastAsia="Calibri" w:hAnsi="Calibri"/>
          <w:b w:val="false"/>
          <w:bCs w:val="false"/>
          <w:color w:val="7E7E7E"/>
          <w:sz w:val="32"/>
          <w:szCs w:val="32"/>
        </w:rPr>
        <w:t xml:space="preserve">Milestone Group  |  HubSpot CRM Implementation</w:t>
      </w:r>
    </w:p>
    <w:p>
      <w:pPr>
        <w:pBdr>
          <w:top w:val="single" w:color="FEC700" w:sz="18" w:space="2"/>
        </w:pBdr>
        <w:spacing w:after="0" w:before="240"/>
        <w:jc w:val="left"/>
      </w:pPr>
      <w:r>
        <w:rPr>
          <w:rFonts w:ascii="Calibri" w:cs="Calibri" w:eastAsia="Calibri" w:hAnsi="Calibri"/>
          <w:sz w:val="2"/>
          <w:szCs w:val="2"/>
        </w:rPr>
        <w:t xml:space="preserve"/>
      </w:r>
    </w:p>
    <w:p>
      <w:pPr>
        <w:spacing w:after="120" w:before="240"/>
      </w:pPr>
      <w:r>
        <w:rPr>
          <w:rFonts w:ascii="Calibri" w:cs="Calibri" w:eastAsia="Calibri" w:hAnsi="Calibri"/>
          <w:color w:val="7E7E7E"/>
          <w:sz w:val="22"/>
          <w:szCs w:val="22"/>
        </w:rPr>
        <w:t xml:space="preserve">Prepared by:</w:t>
      </w:r>
    </w:p>
    <w:p>
      <w:r>
        <w:rPr>
          <w:rFonts w:ascii="Calibri" w:cs="Calibri" w:eastAsia="Calibri" w:hAnsi="Calibri"/>
          <w:b/>
          <w:bCs/>
          <w:color w:val="000000"/>
          <w:sz w:val="24"/>
          <w:szCs w:val="24"/>
        </w:rPr>
        <w:t xml:space="preserve">Sayer Strategy Group</w:t>
      </w:r>
    </w:p>
    <w:p>
      <w:r>
        <w:rPr>
          <w:rFonts w:ascii="Calibri" w:cs="Calibri" w:eastAsia="Calibri" w:hAnsi="Calibri"/>
          <w:color w:val="000000"/>
          <w:sz w:val="22"/>
          <w:szCs w:val="22"/>
        </w:rPr>
        <w:t xml:space="preserve">Kyle Harbuck, Project Lead</w:t>
      </w:r>
    </w:p>
    <w:p>
      <w:r>
        <w:rPr>
          <w:rFonts w:ascii="Calibri" w:cs="Calibri" w:eastAsia="Calibri" w:hAnsi="Calibri"/>
          <w:color w:val="7E7E7E"/>
          <w:sz w:val="22"/>
          <w:szCs w:val="22"/>
        </w:rPr>
        <w:t xml:space="preserve">kyle@gosayer.com</w:t>
      </w:r>
    </w:p>
    <w:p>
      <w:pPr>
        <w:spacing w:before="200"/>
      </w:pPr>
      <w:r>
        <w:rPr>
          <w:rFonts w:ascii="Calibri" w:cs="Calibri" w:eastAsia="Calibri" w:hAnsi="Calibri"/>
          <w:color w:val="7E7E7E"/>
          <w:sz w:val="22"/>
          <w:szCs w:val="22"/>
        </w:rPr>
        <w:t xml:space="preserve">Engagement start:</w:t>
      </w:r>
    </w:p>
    <w:p>
      <w:r>
        <w:rPr>
          <w:rFonts w:ascii="Calibri" w:cs="Calibri" w:eastAsia="Calibri" w:hAnsi="Calibri"/>
          <w:color w:val="000000"/>
          <w:sz w:val="22"/>
          <w:szCs w:val="22"/>
        </w:rPr>
        <w:t xml:space="preserve">April 7, 2026 (kickoff complete)</w:t>
      </w:r>
    </w:p>
    <w:p>
      <w:r>
        <w:rPr>
          <w:rFonts w:ascii="Calibri" w:cs="Calibri" w:eastAsia="Calibri" w:hAnsi="Calibri"/>
          <w:color w:val="7E7E7E"/>
          <w:sz w:val="22"/>
          <w:szCs w:val="22"/>
        </w:rPr>
        <w:t xml:space="preserve">Estimated completion:</w:t>
      </w:r>
    </w:p>
    <w:p>
      <w:r>
        <w:rPr>
          <w:rFonts w:ascii="Calibri" w:cs="Calibri" w:eastAsia="Calibri" w:hAnsi="Calibri"/>
          <w:color w:val="000000"/>
          <w:sz w:val="22"/>
          <w:szCs w:val="22"/>
        </w:rPr>
        <w:t xml:space="preserve">June 12, 2026</w:t>
      </w:r>
    </w:p>
    <w:p>
      <w:r>
        <w:br w:type="page"/>
      </w:r>
    </w:p>
    <w:p>
      <w:pPr>
        <w:spacing w:after="180" w:before="360"/>
      </w:pPr>
      <w:r>
        <w:rPr>
          <w:rFonts w:ascii="Calibri" w:cs="Calibri" w:eastAsia="Calibri" w:hAnsi="Calibri"/>
          <w:b/>
          <w:bCs/>
          <w:color w:val="000000"/>
          <w:sz w:val="36"/>
          <w:szCs w:val="36"/>
        </w:rPr>
        <w:t xml:space="preserve">1. Summary</w:t>
      </w:r>
    </w:p>
    <w:p>
      <w:pPr>
        <w:spacing w:after="120" w:before="120" w:line="336" w:lineRule="auto"/>
        <w:jc w:val="left"/>
      </w:pPr>
      <w:r>
        <w:rPr>
          <w:rFonts w:ascii="Calibri" w:cs="Calibri" w:eastAsia="Calibri" w:hAnsi="Calibri"/>
          <w:b w:val="false"/>
          <w:bCs w:val="false"/>
          <w:i w:val="false"/>
          <w:iCs w:val="false"/>
          <w:color w:val="000000"/>
          <w:sz w:val="22"/>
          <w:szCs w:val="22"/>
        </w:rPr>
        <w:t xml:space="preserve">This document defines the working agreement between Sayer Strategy Group and Milestone Group for the HubSpot CRM Implementation engagement. It establishes how the two teams will collaborate, communicate, and make decisions over the course of the project.</w:t>
      </w:r>
    </w:p>
    <w:p>
      <w:pPr>
        <w:spacing w:after="120" w:before="120" w:line="336" w:lineRule="auto"/>
        <w:jc w:val="left"/>
      </w:pPr>
      <w:r>
        <w:rPr>
          <w:rFonts w:ascii="Calibri" w:cs="Calibri" w:eastAsia="Calibri" w:hAnsi="Calibri"/>
          <w:b w:val="false"/>
          <w:bCs w:val="false"/>
          <w:i w:val="false"/>
          <w:iCs w:val="false"/>
          <w:color w:val="000000"/>
          <w:sz w:val="22"/>
          <w:szCs w:val="22"/>
        </w:rPr>
        <w:t xml:space="preserve">The engagement is a fixed-fee, three-phase HubSpot CRM implementation scheduled from April 13, 2026 through June 12, 2026. Phase 1 focuses on contact and activity capture, Phase 2 delivers deal pipeline and reporting, and Phase 3 covers integrations, training, and go-live.</w:t>
      </w:r>
    </w:p>
    <w:p>
      <w:pPr>
        <w:spacing w:after="120" w:before="120" w:line="336" w:lineRule="auto"/>
        <w:jc w:val="left"/>
      </w:pPr>
      <w:r>
        <w:rPr>
          <w:rFonts w:ascii="Calibri" w:cs="Calibri" w:eastAsia="Calibri" w:hAnsi="Calibri"/>
          <w:b w:val="false"/>
          <w:bCs w:val="false"/>
          <w:i w:val="false"/>
          <w:iCs w:val="false"/>
          <w:color w:val="000000"/>
          <w:sz w:val="22"/>
          <w:szCs w:val="22"/>
        </w:rPr>
        <w:t xml:space="preserve">The primary objective is a production-ready HubSpot environment adopted by all users across Milestone's four offices (Atlanta, Dallas, Denver, South Florida), with clean data, working automations, and the team trained to sustain the system after Sayer's engagement ends.</w:t>
      </w:r>
    </w:p>
    <w:p>
      <w:pPr>
        <w:spacing w:after="180" w:before="360"/>
      </w:pPr>
      <w:r>
        <w:rPr>
          <w:rFonts w:ascii="Calibri" w:cs="Calibri" w:eastAsia="Calibri" w:hAnsi="Calibri"/>
          <w:b/>
          <w:bCs/>
          <w:color w:val="000000"/>
          <w:sz w:val="36"/>
          <w:szCs w:val="36"/>
        </w:rPr>
        <w:t xml:space="preserve">2. Purpose</w:t>
      </w:r>
    </w:p>
    <w:p>
      <w:pPr>
        <w:spacing w:after="120" w:before="120" w:line="336" w:lineRule="auto"/>
        <w:jc w:val="left"/>
      </w:pPr>
      <w:r>
        <w:rPr>
          <w:rFonts w:ascii="Calibri" w:cs="Calibri" w:eastAsia="Calibri" w:hAnsi="Calibri"/>
          <w:b w:val="false"/>
          <w:bCs w:val="false"/>
          <w:i w:val="false"/>
          <w:iCs w:val="false"/>
          <w:color w:val="000000"/>
          <w:sz w:val="22"/>
          <w:szCs w:val="22"/>
        </w:rPr>
        <w:t xml:space="preserve">This governance framework is designed to:</w:t>
      </w:r>
    </w:p>
    <w:p>
      <w:pPr>
        <w:pStyle w:val="ListParagraph"/>
        <w:numPr>
          <w:ilvl w:val="0"/>
          <w:numId w:val="1"/>
        </w:numPr>
        <w:spacing w:after="60" w:before="60" w:line="320" w:lineRule="auto"/>
      </w:pPr>
      <w:r>
        <w:rPr>
          <w:rFonts w:ascii="Calibri" w:cs="Calibri" w:eastAsia="Calibri" w:hAnsi="Calibri"/>
          <w:color w:val="000000"/>
          <w:sz w:val="22"/>
          <w:szCs w:val="22"/>
        </w:rPr>
        <w:t xml:space="preserve">Establish clear roles and responsibilities across both teams.</w:t>
      </w:r>
    </w:p>
    <w:p>
      <w:pPr>
        <w:pStyle w:val="ListParagraph"/>
        <w:numPr>
          <w:ilvl w:val="0"/>
          <w:numId w:val="1"/>
        </w:numPr>
        <w:spacing w:after="60" w:before="60" w:line="320" w:lineRule="auto"/>
      </w:pPr>
      <w:r>
        <w:rPr>
          <w:rFonts w:ascii="Calibri" w:cs="Calibri" w:eastAsia="Calibri" w:hAnsi="Calibri"/>
          <w:color w:val="000000"/>
          <w:sz w:val="22"/>
          <w:szCs w:val="22"/>
        </w:rPr>
        <w:t xml:space="preserve">Define the meeting cadence and communication model.</w:t>
      </w:r>
    </w:p>
    <w:p>
      <w:pPr>
        <w:pStyle w:val="ListParagraph"/>
        <w:numPr>
          <w:ilvl w:val="0"/>
          <w:numId w:val="1"/>
        </w:numPr>
        <w:spacing w:after="60" w:before="60" w:line="320" w:lineRule="auto"/>
      </w:pPr>
      <w:r>
        <w:rPr>
          <w:rFonts w:ascii="Calibri" w:cs="Calibri" w:eastAsia="Calibri" w:hAnsi="Calibri"/>
          <w:color w:val="000000"/>
          <w:sz w:val="22"/>
          <w:szCs w:val="22"/>
        </w:rPr>
        <w:t xml:space="preserve">Create alignment on how decisions are made and blockers are resolved.</w:t>
      </w:r>
    </w:p>
    <w:p>
      <w:pPr>
        <w:pStyle w:val="ListParagraph"/>
        <w:numPr>
          <w:ilvl w:val="0"/>
          <w:numId w:val="1"/>
        </w:numPr>
        <w:spacing w:after="60" w:before="60" w:line="320" w:lineRule="auto"/>
      </w:pPr>
      <w:r>
        <w:rPr>
          <w:rFonts w:ascii="Calibri" w:cs="Calibri" w:eastAsia="Calibri" w:hAnsi="Calibri"/>
          <w:color w:val="000000"/>
          <w:sz w:val="22"/>
          <w:szCs w:val="22"/>
        </w:rPr>
        <w:t xml:space="preserve">Ensure transparency and accountability on both sides.</w:t>
      </w:r>
    </w:p>
    <w:p>
      <w:pPr>
        <w:spacing w:after="180" w:before="360"/>
      </w:pPr>
      <w:r>
        <w:rPr>
          <w:rFonts w:ascii="Calibri" w:cs="Calibri" w:eastAsia="Calibri" w:hAnsi="Calibri"/>
          <w:b/>
          <w:bCs/>
          <w:color w:val="000000"/>
          <w:sz w:val="36"/>
          <w:szCs w:val="36"/>
        </w:rPr>
        <w:t xml:space="preserve">3. Roles and Responsibilities</w:t>
      </w:r>
    </w:p>
    <w:p>
      <w:pPr>
        <w:spacing w:after="120" w:before="120" w:line="336" w:lineRule="auto"/>
        <w:jc w:val="left"/>
      </w:pPr>
      <w:r>
        <w:rPr>
          <w:rFonts w:ascii="Calibri" w:cs="Calibri" w:eastAsia="Calibri" w:hAnsi="Calibri"/>
          <w:b w:val="false"/>
          <w:bCs w:val="false"/>
          <w:i w:val="false"/>
          <w:iCs w:val="false"/>
          <w:color w:val="000000"/>
          <w:sz w:val="22"/>
          <w:szCs w:val="22"/>
        </w:rPr>
        <w:t xml:space="preserve">The following roles govern this engagement. Placeholders in brackets are to be confirmed.</w:t>
      </w:r>
    </w:p>
    <w:p>
      <w:pPr>
        <w:spacing w:after="140" w:before="280"/>
      </w:pPr>
      <w:r>
        <w:rPr>
          <w:rFonts w:ascii="Calibri" w:cs="Calibri" w:eastAsia="Calibri" w:hAnsi="Calibri"/>
          <w:b/>
          <w:bCs/>
          <w:color w:val="000000"/>
          <w:sz w:val="28"/>
          <w:szCs w:val="28"/>
        </w:rPr>
        <w:t xml:space="preserve">Sayer Team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400"/>
            <w:tcBorders>
              <w:top w:val="single" w:color="BCBCBC" w:sz="4"/>
              <w:left w:val="single" w:color="BCBCBC" w:sz="4"/>
              <w:bottom w:val="single" w:color="BCBCBC" w:sz="4"/>
              <w:right w:val="single" w:color="BCBCBC" w:sz="4"/>
            </w:tcBorders>
            <w:shd w:fill="FEC700" w:color="FEC700" w:val="solid"/>
          </w:tcPr>
          <w:p>
            <w:pPr>
              <w:spacing w:after="80" w:before="80" w:line="300" w:lineRule="auto"/>
              <w:jc w:val="left"/>
            </w:pPr>
            <w:r>
              <w:rPr>
                <w:rFonts w:ascii="Calibri" w:cs="Calibri" w:eastAsia="Calibri" w:hAnsi="Calibri"/>
                <w:b/>
                <w:bCs/>
                <w:color w:val="000000"/>
                <w:sz w:val="22"/>
                <w:szCs w:val="22"/>
              </w:rPr>
              <w:t xml:space="preserve">Role</w:t>
            </w:r>
          </w:p>
        </w:tc>
        <w:tc>
          <w:tcPr>
            <w:tcW w:type="dxa" w:w="2400"/>
            <w:tcBorders>
              <w:top w:val="single" w:color="BCBCBC" w:sz="4"/>
              <w:left w:val="single" w:color="BCBCBC" w:sz="4"/>
              <w:bottom w:val="single" w:color="BCBCBC" w:sz="4"/>
              <w:right w:val="single" w:color="BCBCBC" w:sz="4"/>
            </w:tcBorders>
            <w:shd w:fill="FEC700" w:color="FEC700" w:val="solid"/>
          </w:tcPr>
          <w:p>
            <w:pPr>
              <w:spacing w:after="80" w:before="80" w:line="300" w:lineRule="auto"/>
              <w:jc w:val="left"/>
            </w:pPr>
            <w:r>
              <w:rPr>
                <w:rFonts w:ascii="Calibri" w:cs="Calibri" w:eastAsia="Calibri" w:hAnsi="Calibri"/>
                <w:b/>
                <w:bCs/>
                <w:color w:val="000000"/>
                <w:sz w:val="22"/>
                <w:szCs w:val="22"/>
              </w:rPr>
              <w:t xml:space="preserve">Name</w:t>
            </w:r>
          </w:p>
        </w:tc>
        <w:tc>
          <w:tcPr>
            <w:tcW w:type="dxa" w:w="5280"/>
            <w:tcBorders>
              <w:top w:val="single" w:color="BCBCBC" w:sz="4"/>
              <w:left w:val="single" w:color="BCBCBC" w:sz="4"/>
              <w:bottom w:val="single" w:color="BCBCBC" w:sz="4"/>
              <w:right w:val="single" w:color="BCBCBC" w:sz="4"/>
            </w:tcBorders>
            <w:shd w:fill="FEC700" w:color="FEC700" w:val="solid"/>
          </w:tcPr>
          <w:p>
            <w:pPr>
              <w:spacing w:after="80" w:before="80" w:line="300" w:lineRule="auto"/>
              <w:jc w:val="left"/>
            </w:pPr>
            <w:r>
              <w:rPr>
                <w:rFonts w:ascii="Calibri" w:cs="Calibri" w:eastAsia="Calibri" w:hAnsi="Calibri"/>
                <w:b/>
                <w:bCs/>
                <w:color w:val="000000"/>
                <w:sz w:val="22"/>
                <w:szCs w:val="22"/>
              </w:rPr>
              <w:t xml:space="preserve">Responsibilities</w:t>
            </w:r>
          </w:p>
        </w:tc>
      </w:tr>
      <w:tr>
        <w:tc>
          <w:tcPr>
            <w:tcW w:type="dxa" w:w="240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Executive Sponsor</w:t>
            </w:r>
          </w:p>
        </w:tc>
        <w:tc>
          <w:tcPr>
            <w:tcW w:type="dxa" w:w="240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Cameron Taggart</w:t>
            </w:r>
          </w:p>
        </w:tc>
        <w:tc>
          <w:tcPr>
            <w:tcW w:type="dxa" w:w="528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Strategic oversight, escalation point, commercial relationship</w:t>
            </w:r>
          </w:p>
        </w:tc>
      </w:tr>
      <w:tr>
        <w:tc>
          <w:tcPr>
            <w:tcW w:type="dxa" w:w="2400"/>
            <w:tcBorders>
              <w:top w:val="single" w:color="BCBCBC" w:sz="4"/>
              <w:left w:val="single" w:color="BCBCBC" w:sz="4"/>
              <w:bottom w:val="single" w:color="BCBCBC" w:sz="4"/>
              <w:right w:val="single" w:color="BCBCBC" w:sz="4"/>
            </w:tcBorders>
          </w:tcPr>
          <w:p>
            <w:pPr>
              <w:spacing w:after="80" w:before="80" w:line="300" w:lineRule="auto"/>
              <w:jc w:val="left"/>
            </w:pPr>
            <w:r>
              <w:rPr>
                <w:rFonts w:ascii="Calibri" w:cs="Calibri" w:eastAsia="Calibri" w:hAnsi="Calibri"/>
                <w:b w:val="false"/>
                <w:bCs w:val="false"/>
                <w:color w:val="000000"/>
                <w:sz w:val="22"/>
                <w:szCs w:val="22"/>
              </w:rPr>
              <w:t xml:space="preserve">Project Lead</w:t>
            </w:r>
          </w:p>
        </w:tc>
        <w:tc>
          <w:tcPr>
            <w:tcW w:type="dxa" w:w="2400"/>
            <w:tcBorders>
              <w:top w:val="single" w:color="BCBCBC" w:sz="4"/>
              <w:left w:val="single" w:color="BCBCBC" w:sz="4"/>
              <w:bottom w:val="single" w:color="BCBCBC" w:sz="4"/>
              <w:right w:val="single" w:color="BCBCBC" w:sz="4"/>
            </w:tcBorders>
          </w:tcPr>
          <w:p>
            <w:pPr>
              <w:spacing w:after="80" w:before="80" w:line="300" w:lineRule="auto"/>
              <w:jc w:val="left"/>
            </w:pPr>
            <w:r>
              <w:rPr>
                <w:rFonts w:ascii="Calibri" w:cs="Calibri" w:eastAsia="Calibri" w:hAnsi="Calibri"/>
                <w:b w:val="false"/>
                <w:bCs w:val="false"/>
                <w:color w:val="000000"/>
                <w:sz w:val="22"/>
                <w:szCs w:val="22"/>
              </w:rPr>
              <w:t xml:space="preserve">Kyle Harbuck</w:t>
            </w:r>
          </w:p>
        </w:tc>
        <w:tc>
          <w:tcPr>
            <w:tcW w:type="dxa" w:w="5280"/>
            <w:tcBorders>
              <w:top w:val="single" w:color="BCBCBC" w:sz="4"/>
              <w:left w:val="single" w:color="BCBCBC" w:sz="4"/>
              <w:bottom w:val="single" w:color="BCBCBC" w:sz="4"/>
              <w:right w:val="single" w:color="BCBCBC" w:sz="4"/>
            </w:tcBorders>
          </w:tcPr>
          <w:p>
            <w:pPr>
              <w:spacing w:after="80" w:before="80" w:line="300" w:lineRule="auto"/>
              <w:jc w:val="left"/>
            </w:pPr>
            <w:r>
              <w:rPr>
                <w:rFonts w:ascii="Calibri" w:cs="Calibri" w:eastAsia="Calibri" w:hAnsi="Calibri"/>
                <w:b w:val="false"/>
                <w:bCs w:val="false"/>
                <w:color w:val="000000"/>
                <w:sz w:val="22"/>
                <w:szCs w:val="22"/>
              </w:rPr>
              <w:t xml:space="preserve">Day-to-day project leadership, HubSpot architecture, stakeholder management, delivery oversight</w:t>
            </w:r>
          </w:p>
        </w:tc>
      </w:tr>
      <w:tr>
        <w:tc>
          <w:tcPr>
            <w:tcW w:type="dxa" w:w="240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Project Support</w:t>
            </w:r>
          </w:p>
        </w:tc>
        <w:tc>
          <w:tcPr>
            <w:tcW w:type="dxa" w:w="240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Weston Baker</w:t>
            </w:r>
          </w:p>
        </w:tc>
        <w:tc>
          <w:tcPr>
            <w:tcW w:type="dxa" w:w="528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Operational coordination, governance documentation, scheduling, deliverable support</w:t>
            </w:r>
          </w:p>
        </w:tc>
      </w:tr>
    </w:tbl>
    <w:p>
      <w:pPr>
        <w:spacing w:after="120" w:before="120" w:line="336" w:lineRule="auto"/>
        <w:jc w:val="left"/>
      </w:pPr>
      <w:r>
        <w:rPr>
          <w:rFonts w:ascii="Calibri" w:cs="Calibri" w:eastAsia="Calibri" w:hAnsi="Calibri"/>
          <w:b w:val="false"/>
          <w:bCs w:val="false"/>
          <w:i w:val="false"/>
          <w:iCs w:val="false"/>
          <w:color w:val="000000"/>
          <w:sz w:val="22"/>
          <w:szCs w:val="22"/>
        </w:rPr>
        <w:t xml:space="preserve"/>
      </w:r>
    </w:p>
    <w:p>
      <w:pPr>
        <w:spacing w:after="140" w:before="280"/>
      </w:pPr>
      <w:r>
        <w:rPr>
          <w:rFonts w:ascii="Calibri" w:cs="Calibri" w:eastAsia="Calibri" w:hAnsi="Calibri"/>
          <w:b/>
          <w:bCs/>
          <w:color w:val="000000"/>
          <w:sz w:val="28"/>
          <w:szCs w:val="28"/>
        </w:rPr>
        <w:t xml:space="preserve">Milestone Team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400"/>
            <w:tcBorders>
              <w:top w:val="single" w:color="BCBCBC" w:sz="4"/>
              <w:left w:val="single" w:color="BCBCBC" w:sz="4"/>
              <w:bottom w:val="single" w:color="BCBCBC" w:sz="4"/>
              <w:right w:val="single" w:color="BCBCBC" w:sz="4"/>
            </w:tcBorders>
            <w:shd w:fill="FEC700" w:color="FEC700" w:val="solid"/>
          </w:tcPr>
          <w:p>
            <w:pPr>
              <w:spacing w:after="80" w:before="80" w:line="300" w:lineRule="auto"/>
              <w:jc w:val="left"/>
            </w:pPr>
            <w:r>
              <w:rPr>
                <w:rFonts w:ascii="Calibri" w:cs="Calibri" w:eastAsia="Calibri" w:hAnsi="Calibri"/>
                <w:b/>
                <w:bCs/>
                <w:color w:val="000000"/>
                <w:sz w:val="22"/>
                <w:szCs w:val="22"/>
              </w:rPr>
              <w:t xml:space="preserve">Role</w:t>
            </w:r>
          </w:p>
        </w:tc>
        <w:tc>
          <w:tcPr>
            <w:tcW w:type="dxa" w:w="2400"/>
            <w:tcBorders>
              <w:top w:val="single" w:color="BCBCBC" w:sz="4"/>
              <w:left w:val="single" w:color="BCBCBC" w:sz="4"/>
              <w:bottom w:val="single" w:color="BCBCBC" w:sz="4"/>
              <w:right w:val="single" w:color="BCBCBC" w:sz="4"/>
            </w:tcBorders>
            <w:shd w:fill="FEC700" w:color="FEC700" w:val="solid"/>
          </w:tcPr>
          <w:p>
            <w:pPr>
              <w:spacing w:after="80" w:before="80" w:line="300" w:lineRule="auto"/>
              <w:jc w:val="left"/>
            </w:pPr>
            <w:r>
              <w:rPr>
                <w:rFonts w:ascii="Calibri" w:cs="Calibri" w:eastAsia="Calibri" w:hAnsi="Calibri"/>
                <w:b/>
                <w:bCs/>
                <w:color w:val="000000"/>
                <w:sz w:val="22"/>
                <w:szCs w:val="22"/>
              </w:rPr>
              <w:t xml:space="preserve">Name</w:t>
            </w:r>
          </w:p>
        </w:tc>
        <w:tc>
          <w:tcPr>
            <w:tcW w:type="dxa" w:w="5280"/>
            <w:tcBorders>
              <w:top w:val="single" w:color="BCBCBC" w:sz="4"/>
              <w:left w:val="single" w:color="BCBCBC" w:sz="4"/>
              <w:bottom w:val="single" w:color="BCBCBC" w:sz="4"/>
              <w:right w:val="single" w:color="BCBCBC" w:sz="4"/>
            </w:tcBorders>
            <w:shd w:fill="FEC700" w:color="FEC700" w:val="solid"/>
          </w:tcPr>
          <w:p>
            <w:pPr>
              <w:spacing w:after="80" w:before="80" w:line="300" w:lineRule="auto"/>
              <w:jc w:val="left"/>
            </w:pPr>
            <w:r>
              <w:rPr>
                <w:rFonts w:ascii="Calibri" w:cs="Calibri" w:eastAsia="Calibri" w:hAnsi="Calibri"/>
                <w:b/>
                <w:bCs/>
                <w:color w:val="000000"/>
                <w:sz w:val="22"/>
                <w:szCs w:val="22"/>
              </w:rPr>
              <w:t xml:space="preserve">Responsibilities</w:t>
            </w:r>
          </w:p>
        </w:tc>
      </w:tr>
      <w:tr>
        <w:tc>
          <w:tcPr>
            <w:tcW w:type="dxa" w:w="240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Project Champion</w:t>
            </w:r>
          </w:p>
        </w:tc>
        <w:tc>
          <w:tcPr>
            <w:tcW w:type="dxa" w:w="240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Jason Wise, Managing Director</w:t>
            </w:r>
          </w:p>
        </w:tc>
        <w:tc>
          <w:tcPr>
            <w:tcW w:type="dxa" w:w="528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Primary point of contact, removes blockers, ensures access to people and information, drives internal coordination</w:t>
            </w:r>
          </w:p>
        </w:tc>
      </w:tr>
      <w:tr>
        <w:tc>
          <w:tcPr>
            <w:tcW w:type="dxa" w:w="2400"/>
            <w:tcBorders>
              <w:top w:val="single" w:color="BCBCBC" w:sz="4"/>
              <w:left w:val="single" w:color="BCBCBC" w:sz="4"/>
              <w:bottom w:val="single" w:color="BCBCBC" w:sz="4"/>
              <w:right w:val="single" w:color="BCBCBC" w:sz="4"/>
            </w:tcBorders>
          </w:tcPr>
          <w:p>
            <w:pPr>
              <w:spacing w:after="80" w:before="80" w:line="300" w:lineRule="auto"/>
              <w:jc w:val="left"/>
            </w:pPr>
            <w:r>
              <w:rPr>
                <w:rFonts w:ascii="Calibri" w:cs="Calibri" w:eastAsia="Calibri" w:hAnsi="Calibri"/>
                <w:b w:val="false"/>
                <w:bCs w:val="false"/>
                <w:color w:val="000000"/>
                <w:sz w:val="22"/>
                <w:szCs w:val="22"/>
              </w:rPr>
              <w:t xml:space="preserve">Operations Lead</w:t>
            </w:r>
          </w:p>
        </w:tc>
        <w:tc>
          <w:tcPr>
            <w:tcW w:type="dxa" w:w="2400"/>
            <w:tcBorders>
              <w:top w:val="single" w:color="BCBCBC" w:sz="4"/>
              <w:left w:val="single" w:color="BCBCBC" w:sz="4"/>
              <w:bottom w:val="single" w:color="BCBCBC" w:sz="4"/>
              <w:right w:val="single" w:color="BCBCBC" w:sz="4"/>
            </w:tcBorders>
          </w:tcPr>
          <w:p>
            <w:pPr>
              <w:spacing w:after="80" w:before="80" w:line="300" w:lineRule="auto"/>
              <w:jc w:val="left"/>
            </w:pPr>
            <w:r>
              <w:rPr>
                <w:rFonts w:ascii="Calibri" w:cs="Calibri" w:eastAsia="Calibri" w:hAnsi="Calibri"/>
                <w:b w:val="false"/>
                <w:bCs w:val="false"/>
                <w:color w:val="000000"/>
                <w:sz w:val="22"/>
                <w:szCs w:val="22"/>
              </w:rPr>
              <w:t xml:space="preserve">Robert Strong</w:t>
            </w:r>
          </w:p>
        </w:tc>
        <w:tc>
          <w:tcPr>
            <w:tcW w:type="dxa" w:w="5280"/>
            <w:tcBorders>
              <w:top w:val="single" w:color="BCBCBC" w:sz="4"/>
              <w:left w:val="single" w:color="BCBCBC" w:sz="4"/>
              <w:bottom w:val="single" w:color="BCBCBC" w:sz="4"/>
              <w:right w:val="single" w:color="BCBCBC" w:sz="4"/>
            </w:tcBorders>
          </w:tcPr>
          <w:p>
            <w:pPr>
              <w:spacing w:after="80" w:before="80" w:line="300" w:lineRule="auto"/>
              <w:jc w:val="left"/>
            </w:pPr>
            <w:r>
              <w:rPr>
                <w:rFonts w:ascii="Calibri" w:cs="Calibri" w:eastAsia="Calibri" w:hAnsi="Calibri"/>
                <w:b w:val="false"/>
                <w:bCs w:val="false"/>
                <w:color w:val="000000"/>
                <w:sz w:val="22"/>
                <w:szCs w:val="22"/>
              </w:rPr>
              <w:t xml:space="preserve">Facilitates access to SOPs, systems, and personnel; coordinates data exports from Outlook, Excel, and Zoho; broker and acquisition-target coordination</w:t>
            </w:r>
          </w:p>
        </w:tc>
      </w:tr>
      <w:tr>
        <w:tc>
          <w:tcPr>
            <w:tcW w:type="dxa" w:w="240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Executive Stakeholder</w:t>
            </w:r>
          </w:p>
        </w:tc>
        <w:tc>
          <w:tcPr>
            <w:tcW w:type="dxa" w:w="240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Jason Wise</w:t>
            </w:r>
          </w:p>
        </w:tc>
        <w:tc>
          <w:tcPr>
            <w:tcW w:type="dxa" w:w="528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Strategic direction, deal value driver alignment, final sign-off on recommendations</w:t>
            </w:r>
          </w:p>
        </w:tc>
      </w:tr>
    </w:tbl>
    <w:p>
      <w:pPr>
        <w:spacing w:after="180" w:before="360"/>
      </w:pPr>
      <w:r>
        <w:rPr>
          <w:rFonts w:ascii="Calibri" w:cs="Calibri" w:eastAsia="Calibri" w:hAnsi="Calibri"/>
          <w:b/>
          <w:bCs/>
          <w:color w:val="000000"/>
          <w:sz w:val="36"/>
          <w:szCs w:val="36"/>
        </w:rPr>
        <w:t xml:space="preserve">4. Steering Committee</w:t>
      </w:r>
    </w:p>
    <w:p>
      <w:pPr>
        <w:spacing w:after="120" w:before="120" w:line="336" w:lineRule="auto"/>
        <w:jc w:val="left"/>
      </w:pPr>
      <w:r>
        <w:rPr>
          <w:rFonts w:ascii="Calibri" w:cs="Calibri" w:eastAsia="Calibri" w:hAnsi="Calibri"/>
          <w:b w:val="false"/>
          <w:bCs w:val="false"/>
          <w:i w:val="false"/>
          <w:iCs w:val="false"/>
          <w:color w:val="000000"/>
          <w:sz w:val="22"/>
          <w:szCs w:val="22"/>
        </w:rPr>
        <w:t xml:space="preserve">The Steering Committee is the primary decision-making forum for this engagement. It is not a status update meeting. Its purpose is to align on strategic direction, resolve blockers that require leadership input, and make decisions that shape project outcomes.</w:t>
      </w:r>
    </w:p>
    <w:p>
      <w:pPr>
        <w:spacing w:after="140" w:before="280"/>
      </w:pPr>
      <w:r>
        <w:rPr>
          <w:rFonts w:ascii="Calibri" w:cs="Calibri" w:eastAsia="Calibri" w:hAnsi="Calibri"/>
          <w:b/>
          <w:bCs/>
          <w:color w:val="000000"/>
          <w:sz w:val="28"/>
          <w:szCs w:val="28"/>
        </w:rPr>
        <w:t xml:space="preserve">Composition</w:t>
      </w:r>
    </w:p>
    <w:p>
      <w:pPr>
        <w:pStyle w:val="ListParagraph"/>
        <w:numPr>
          <w:ilvl w:val="0"/>
          <w:numId w:val="1"/>
        </w:numPr>
        <w:spacing w:after="60" w:before="60" w:line="320" w:lineRule="auto"/>
      </w:pPr>
      <w:r>
        <w:rPr>
          <w:rFonts w:ascii="Calibri" w:cs="Calibri" w:eastAsia="Calibri" w:hAnsi="Calibri"/>
          <w:color w:val="000000"/>
          <w:sz w:val="22"/>
          <w:szCs w:val="22"/>
        </w:rPr>
        <w:t xml:space="preserve">Jason Wise, Milestone Project Champion</w:t>
      </w:r>
    </w:p>
    <w:p>
      <w:pPr>
        <w:pStyle w:val="ListParagraph"/>
        <w:numPr>
          <w:ilvl w:val="0"/>
          <w:numId w:val="1"/>
        </w:numPr>
        <w:spacing w:after="60" w:before="60" w:line="320" w:lineRule="auto"/>
      </w:pPr>
      <w:r>
        <w:rPr>
          <w:rFonts w:ascii="Calibri" w:cs="Calibri" w:eastAsia="Calibri" w:hAnsi="Calibri"/>
          <w:color w:val="000000"/>
          <w:sz w:val="22"/>
          <w:szCs w:val="22"/>
        </w:rPr>
        <w:t xml:space="preserve">Kyle Harbuck, Sayer Project Lead</w:t>
      </w:r>
    </w:p>
    <w:p>
      <w:pPr>
        <w:pStyle w:val="ListParagraph"/>
        <w:numPr>
          <w:ilvl w:val="0"/>
          <w:numId w:val="1"/>
        </w:numPr>
        <w:spacing w:after="60" w:before="60" w:line="320" w:lineRule="auto"/>
      </w:pPr>
      <w:r>
        <w:rPr>
          <w:rFonts w:ascii="Calibri" w:cs="Calibri" w:eastAsia="Calibri" w:hAnsi="Calibri"/>
          <w:color w:val="000000"/>
          <w:sz w:val="22"/>
          <w:szCs w:val="22"/>
        </w:rPr>
        <w:t xml:space="preserve">Cameron Taggart, Sayer Executive Sponsor</w:t>
      </w:r>
    </w:p>
    <w:p>
      <w:pPr>
        <w:spacing w:after="120" w:before="120" w:line="336" w:lineRule="auto"/>
        <w:jc w:val="left"/>
      </w:pPr>
      <w:r>
        <w:rPr>
          <w:rFonts w:ascii="Calibri" w:cs="Calibri" w:eastAsia="Calibri" w:hAnsi="Calibri"/>
          <w:b w:val="false"/>
          <w:bCs w:val="false"/>
          <w:i/>
          <w:iCs/>
          <w:color w:val="000000"/>
          <w:sz w:val="22"/>
          <w:szCs w:val="22"/>
        </w:rPr>
        <w:t xml:space="preserve">Additional stakeholders by invitation only. Default is: fewer attendees, more focused decisions.</w:t>
      </w:r>
    </w:p>
    <w:p>
      <w:pPr>
        <w:spacing w:after="140" w:before="280"/>
      </w:pPr>
      <w:r>
        <w:rPr>
          <w:rFonts w:ascii="Calibri" w:cs="Calibri" w:eastAsia="Calibri" w:hAnsi="Calibri"/>
          <w:b/>
          <w:bCs/>
          <w:color w:val="000000"/>
          <w:sz w:val="28"/>
          <w:szCs w:val="28"/>
        </w:rPr>
        <w:t xml:space="preserve">Cadence</w:t>
      </w:r>
    </w:p>
    <w:p>
      <w:pPr>
        <w:pStyle w:val="ListParagraph"/>
        <w:numPr>
          <w:ilvl w:val="0"/>
          <w:numId w:val="1"/>
        </w:numPr>
        <w:spacing w:after="60" w:before="60" w:line="320" w:lineRule="auto"/>
      </w:pPr>
      <w:r>
        <w:rPr>
          <w:rFonts w:ascii="Calibri" w:cs="Calibri" w:eastAsia="Calibri" w:hAnsi="Calibri"/>
          <w:color w:val="000000"/>
          <w:sz w:val="22"/>
          <w:szCs w:val="22"/>
        </w:rPr>
        <w:t xml:space="preserve">Biweekly (every two weeks), 45 minutes.</w:t>
      </w:r>
    </w:p>
    <w:p>
      <w:pPr>
        <w:spacing w:after="140" w:before="280"/>
      </w:pPr>
      <w:r>
        <w:rPr>
          <w:rFonts w:ascii="Calibri" w:cs="Calibri" w:eastAsia="Calibri" w:hAnsi="Calibri"/>
          <w:b/>
          <w:bCs/>
          <w:color w:val="000000"/>
          <w:sz w:val="28"/>
          <w:szCs w:val="28"/>
        </w:rPr>
        <w:t xml:space="preserve">The Three Questions</w:t>
      </w:r>
    </w:p>
    <w:p>
      <w:pPr>
        <w:spacing w:after="120" w:before="120" w:line="336" w:lineRule="auto"/>
        <w:jc w:val="left"/>
      </w:pPr>
      <w:r>
        <w:rPr>
          <w:rFonts w:ascii="Calibri" w:cs="Calibri" w:eastAsia="Calibri" w:hAnsi="Calibri"/>
          <w:b w:val="false"/>
          <w:bCs w:val="false"/>
          <w:i w:val="false"/>
          <w:iCs w:val="false"/>
          <w:color w:val="000000"/>
          <w:sz w:val="22"/>
          <w:szCs w:val="22"/>
        </w:rPr>
        <w:t xml:space="preserve">Every Steering Committee meeting is structured around three questions:</w:t>
      </w:r>
    </w:p>
    <w:p>
      <w:pPr>
        <w:spacing w:after="80" w:before="80"/>
      </w:pPr>
      <w:r>
        <w:rPr>
          <w:rFonts w:ascii="Calibri" w:cs="Calibri" w:eastAsia="Calibri" w:hAnsi="Calibri"/>
          <w:b/>
          <w:bCs/>
          <w:color w:val="000000"/>
          <w:sz w:val="22"/>
          <w:szCs w:val="22"/>
        </w:rPr>
        <w:t xml:space="preserve">1. </w:t>
      </w:r>
      <w:r>
        <w:rPr>
          <w:rFonts w:ascii="Calibri" w:cs="Calibri" w:eastAsia="Calibri" w:hAnsi="Calibri"/>
          <w:b/>
          <w:bCs/>
          <w:color w:val="000000"/>
          <w:sz w:val="22"/>
          <w:szCs w:val="22"/>
        </w:rPr>
        <w:t xml:space="preserve">What have we accomplished since we last met?</w:t>
      </w:r>
    </w:p>
    <w:p>
      <w:pPr>
        <w:spacing w:after="80" w:before="80"/>
      </w:pPr>
      <w:r>
        <w:rPr>
          <w:rFonts w:ascii="Calibri" w:cs="Calibri" w:eastAsia="Calibri" w:hAnsi="Calibri"/>
          <w:b/>
          <w:bCs/>
          <w:color w:val="000000"/>
          <w:sz w:val="22"/>
          <w:szCs w:val="22"/>
        </w:rPr>
        <w:t xml:space="preserve">2. </w:t>
      </w:r>
      <w:r>
        <w:rPr>
          <w:rFonts w:ascii="Calibri" w:cs="Calibri" w:eastAsia="Calibri" w:hAnsi="Calibri"/>
          <w:b/>
          <w:bCs/>
          <w:color w:val="000000"/>
          <w:sz w:val="22"/>
          <w:szCs w:val="22"/>
        </w:rPr>
        <w:t xml:space="preserve">What will we accomplish before we meet again?</w:t>
      </w:r>
    </w:p>
    <w:p>
      <w:pPr>
        <w:spacing w:after="80" w:before="80"/>
      </w:pPr>
      <w:r>
        <w:rPr>
          <w:rFonts w:ascii="Calibri" w:cs="Calibri" w:eastAsia="Calibri" w:hAnsi="Calibri"/>
          <w:b/>
          <w:bCs/>
          <w:color w:val="000000"/>
          <w:sz w:val="22"/>
          <w:szCs w:val="22"/>
        </w:rPr>
        <w:t xml:space="preserve">3. </w:t>
      </w:r>
      <w:r>
        <w:rPr>
          <w:rFonts w:ascii="Calibri" w:cs="Calibri" w:eastAsia="Calibri" w:hAnsi="Calibri"/>
          <w:b/>
          <w:bCs/>
          <w:color w:val="000000"/>
          <w:sz w:val="22"/>
          <w:szCs w:val="22"/>
        </w:rPr>
        <w:t xml:space="preserve">What action items, blockers, or decisions need to be addressed?</w:t>
      </w:r>
    </w:p>
    <w:p>
      <w:pPr>
        <w:spacing w:after="120" w:before="120" w:line="336" w:lineRule="auto"/>
        <w:jc w:val="left"/>
      </w:pPr>
      <w:r>
        <w:rPr>
          <w:rFonts w:ascii="Calibri" w:cs="Calibri" w:eastAsia="Calibri" w:hAnsi="Calibri"/>
          <w:b w:val="false"/>
          <w:bCs w:val="false"/>
          <w:i w:val="false"/>
          <w:iCs w:val="false"/>
          <w:color w:val="000000"/>
          <w:sz w:val="22"/>
          <w:szCs w:val="22"/>
        </w:rPr>
        <w:t xml:space="preserve">These three questions are the centerpiece of the Sayer governance model. They anchor every Steering Committee, and the outputs from each meeting feed directly into the Working Team cadence described below.</w:t>
      </w:r>
    </w:p>
    <w:p>
      <w:pPr>
        <w:spacing w:after="180" w:before="360"/>
      </w:pPr>
      <w:r>
        <w:rPr>
          <w:rFonts w:ascii="Calibri" w:cs="Calibri" w:eastAsia="Calibri" w:hAnsi="Calibri"/>
          <w:b/>
          <w:bCs/>
          <w:color w:val="000000"/>
          <w:sz w:val="36"/>
          <w:szCs w:val="36"/>
        </w:rPr>
        <w:t xml:space="preserve">5. Working Team Agreement</w:t>
      </w:r>
    </w:p>
    <w:p>
      <w:pPr>
        <w:spacing w:after="120" w:before="120" w:line="336" w:lineRule="auto"/>
        <w:jc w:val="left"/>
      </w:pPr>
      <w:r>
        <w:rPr>
          <w:rFonts w:ascii="Calibri" w:cs="Calibri" w:eastAsia="Calibri" w:hAnsi="Calibri"/>
          <w:b w:val="false"/>
          <w:bCs w:val="false"/>
          <w:i w:val="false"/>
          <w:iCs w:val="false"/>
          <w:color w:val="000000"/>
          <w:sz w:val="22"/>
          <w:szCs w:val="22"/>
        </w:rPr>
        <w:t xml:space="preserve">The Working Team meeting runs weekly alongside the biweekly Steering Committee. It is where the operational work of the engagement happens.</w:t>
      </w:r>
    </w:p>
    <w:p>
      <w:pPr>
        <w:spacing w:after="140" w:before="280"/>
      </w:pPr>
      <w:r>
        <w:rPr>
          <w:rFonts w:ascii="Calibri" w:cs="Calibri" w:eastAsia="Calibri" w:hAnsi="Calibri"/>
          <w:b/>
          <w:bCs/>
          <w:color w:val="000000"/>
          <w:sz w:val="28"/>
          <w:szCs w:val="28"/>
        </w:rPr>
        <w:t xml:space="preserve">Focus Areas</w:t>
      </w:r>
    </w:p>
    <w:p>
      <w:pPr>
        <w:pStyle w:val="ListParagraph"/>
        <w:numPr>
          <w:ilvl w:val="0"/>
          <w:numId w:val="1"/>
        </w:numPr>
        <w:spacing w:after="60" w:before="60" w:line="320" w:lineRule="auto"/>
      </w:pPr>
      <w:r>
        <w:rPr>
          <w:rFonts w:ascii="Calibri" w:cs="Calibri" w:eastAsia="Calibri" w:hAnsi="Calibri"/>
          <w:color w:val="000000"/>
          <w:sz w:val="22"/>
          <w:szCs w:val="22"/>
        </w:rPr>
        <w:t xml:space="preserve">Interview scheduling and preparation across the Milestone team.</w:t>
      </w:r>
    </w:p>
    <w:p>
      <w:pPr>
        <w:pStyle w:val="ListParagraph"/>
        <w:numPr>
          <w:ilvl w:val="0"/>
          <w:numId w:val="1"/>
        </w:numPr>
        <w:spacing w:after="60" w:before="60" w:line="320" w:lineRule="auto"/>
      </w:pPr>
      <w:r>
        <w:rPr>
          <w:rFonts w:ascii="Calibri" w:cs="Calibri" w:eastAsia="Calibri" w:hAnsi="Calibri"/>
          <w:color w:val="000000"/>
          <w:sz w:val="22"/>
          <w:szCs w:val="22"/>
        </w:rPr>
        <w:t xml:space="preserve">Document and data request tracking (contact exports from Outlook, Excel, Zoho).</w:t>
      </w:r>
    </w:p>
    <w:p>
      <w:pPr>
        <w:pStyle w:val="ListParagraph"/>
        <w:numPr>
          <w:ilvl w:val="0"/>
          <w:numId w:val="1"/>
        </w:numPr>
        <w:spacing w:after="60" w:before="60" w:line="320" w:lineRule="auto"/>
      </w:pPr>
      <w:r>
        <w:rPr>
          <w:rFonts w:ascii="Calibri" w:cs="Calibri" w:eastAsia="Calibri" w:hAnsi="Calibri"/>
          <w:color w:val="000000"/>
          <w:sz w:val="22"/>
          <w:szCs w:val="22"/>
        </w:rPr>
        <w:t xml:space="preserve">Work-in-progress review and iterative feedback on configurations and workflows.</w:t>
      </w:r>
    </w:p>
    <w:p>
      <w:pPr>
        <w:pStyle w:val="ListParagraph"/>
        <w:numPr>
          <w:ilvl w:val="0"/>
          <w:numId w:val="1"/>
        </w:numPr>
        <w:spacing w:after="60" w:before="60" w:line="320" w:lineRule="auto"/>
      </w:pPr>
      <w:r>
        <w:rPr>
          <w:rFonts w:ascii="Calibri" w:cs="Calibri" w:eastAsia="Calibri" w:hAnsi="Calibri"/>
          <w:color w:val="000000"/>
          <w:sz w:val="22"/>
          <w:szCs w:val="22"/>
        </w:rPr>
        <w:t xml:space="preserve">Coordination on upcoming phase milestones and dependencies.</w:t>
      </w:r>
    </w:p>
    <w:p>
      <w:pPr>
        <w:spacing w:after="140" w:before="280"/>
      </w:pPr>
      <w:r>
        <w:rPr>
          <w:rFonts w:ascii="Calibri" w:cs="Calibri" w:eastAsia="Calibri" w:hAnsi="Calibri"/>
          <w:b/>
          <w:bCs/>
          <w:color w:val="000000"/>
          <w:sz w:val="28"/>
          <w:szCs w:val="28"/>
        </w:rPr>
        <w:t xml:space="preserve">Attendees</w:t>
      </w:r>
    </w:p>
    <w:p>
      <w:pPr>
        <w:pStyle w:val="ListParagraph"/>
        <w:numPr>
          <w:ilvl w:val="0"/>
          <w:numId w:val="1"/>
        </w:numPr>
        <w:spacing w:after="60" w:before="60" w:line="320" w:lineRule="auto"/>
      </w:pPr>
      <w:r>
        <w:rPr>
          <w:rFonts w:ascii="Calibri" w:cs="Calibri" w:eastAsia="Calibri" w:hAnsi="Calibri"/>
          <w:color w:val="000000"/>
          <w:sz w:val="22"/>
          <w:szCs w:val="22"/>
        </w:rPr>
        <w:t xml:space="preserve">Kyle Harbuck (Sayer Project Lead)</w:t>
      </w:r>
    </w:p>
    <w:p>
      <w:pPr>
        <w:pStyle w:val="ListParagraph"/>
        <w:numPr>
          <w:ilvl w:val="0"/>
          <w:numId w:val="1"/>
        </w:numPr>
        <w:spacing w:after="60" w:before="60" w:line="320" w:lineRule="auto"/>
      </w:pPr>
      <w:r>
        <w:rPr>
          <w:rFonts w:ascii="Calibri" w:cs="Calibri" w:eastAsia="Calibri" w:hAnsi="Calibri"/>
          <w:color w:val="000000"/>
          <w:sz w:val="22"/>
          <w:szCs w:val="22"/>
        </w:rPr>
        <w:t xml:space="preserve">Weston Baker (Sayer Project Support)</w:t>
      </w:r>
    </w:p>
    <w:p>
      <w:pPr>
        <w:pStyle w:val="ListParagraph"/>
        <w:numPr>
          <w:ilvl w:val="0"/>
          <w:numId w:val="1"/>
        </w:numPr>
        <w:spacing w:after="60" w:before="60" w:line="320" w:lineRule="auto"/>
      </w:pPr>
      <w:r>
        <w:rPr>
          <w:rFonts w:ascii="Calibri" w:cs="Calibri" w:eastAsia="Calibri" w:hAnsi="Calibri"/>
          <w:color w:val="000000"/>
          <w:sz w:val="22"/>
          <w:szCs w:val="22"/>
        </w:rPr>
        <w:t xml:space="preserve">Jason Wise (Milestone Project Champion) or designee</w:t>
      </w:r>
    </w:p>
    <w:p>
      <w:pPr>
        <w:pStyle w:val="ListParagraph"/>
        <w:numPr>
          <w:ilvl w:val="0"/>
          <w:numId w:val="1"/>
        </w:numPr>
        <w:spacing w:after="60" w:before="60" w:line="320" w:lineRule="auto"/>
      </w:pPr>
      <w:r>
        <w:rPr>
          <w:rFonts w:ascii="Calibri" w:cs="Calibri" w:eastAsia="Calibri" w:hAnsi="Calibri"/>
          <w:color w:val="000000"/>
          <w:sz w:val="22"/>
          <w:szCs w:val="22"/>
        </w:rPr>
        <w:t xml:space="preserve">Robert Strong (Milestone Operations Lead) as needed for data coordination sessions</w:t>
      </w:r>
    </w:p>
    <w:p>
      <w:pPr>
        <w:spacing w:after="140" w:before="280"/>
      </w:pPr>
      <w:r>
        <w:rPr>
          <w:rFonts w:ascii="Calibri" w:cs="Calibri" w:eastAsia="Calibri" w:hAnsi="Calibri"/>
          <w:b/>
          <w:bCs/>
          <w:color w:val="000000"/>
          <w:sz w:val="28"/>
          <w:szCs w:val="28"/>
        </w:rPr>
        <w:t xml:space="preserve">Cadence</w:t>
      </w:r>
    </w:p>
    <w:p>
      <w:pPr>
        <w:pStyle w:val="ListParagraph"/>
        <w:numPr>
          <w:ilvl w:val="0"/>
          <w:numId w:val="1"/>
        </w:numPr>
        <w:spacing w:after="60" w:before="60" w:line="320" w:lineRule="auto"/>
      </w:pPr>
      <w:r>
        <w:rPr>
          <w:rFonts w:ascii="Calibri" w:cs="Calibri" w:eastAsia="Calibri" w:hAnsi="Calibri"/>
          <w:color w:val="000000"/>
          <w:sz w:val="22"/>
          <w:szCs w:val="22"/>
        </w:rPr>
        <w:t xml:space="preserve">Weekly, Mondays at 2:00 PM Central, 30 minutes. Confirmed at kickoff.</w:t>
      </w:r>
    </w:p>
    <w:p>
      <w:pPr>
        <w:spacing w:after="180" w:before="360"/>
      </w:pPr>
      <w:r>
        <w:rPr>
          <w:rFonts w:ascii="Calibri" w:cs="Calibri" w:eastAsia="Calibri" w:hAnsi="Calibri"/>
          <w:b/>
          <w:bCs/>
          <w:color w:val="000000"/>
          <w:sz w:val="36"/>
          <w:szCs w:val="36"/>
        </w:rPr>
        <w:t xml:space="preserve">6. Asynchronous Communication</w:t>
      </w:r>
    </w:p>
    <w:p>
      <w:pPr>
        <w:spacing w:after="120" w:before="120" w:line="336" w:lineRule="auto"/>
        <w:jc w:val="left"/>
      </w:pPr>
      <w:r>
        <w:rPr>
          <w:rFonts w:ascii="Calibri" w:cs="Calibri" w:eastAsia="Calibri" w:hAnsi="Calibri"/>
          <w:b w:val="false"/>
          <w:bCs w:val="false"/>
          <w:i w:val="false"/>
          <w:iCs w:val="false"/>
          <w:color w:val="000000"/>
          <w:sz w:val="22"/>
          <w:szCs w:val="22"/>
        </w:rPr>
        <w:t xml:space="preserve">Real-time communication between scheduled meetings is authorized and expected. The common failure mode on implementations is teams waiting for the next scheduled meeting to raise a blocker. That delay compounds. Instead:</w:t>
      </w:r>
    </w:p>
    <w:p>
      <w:pPr>
        <w:pStyle w:val="ListParagraph"/>
        <w:numPr>
          <w:ilvl w:val="0"/>
          <w:numId w:val="1"/>
        </w:numPr>
        <w:spacing w:after="60" w:before="60" w:line="320" w:lineRule="auto"/>
      </w:pPr>
      <w:r>
        <w:rPr>
          <w:rFonts w:ascii="Calibri" w:cs="Calibri" w:eastAsia="Calibri" w:hAnsi="Calibri"/>
          <w:color w:val="000000"/>
          <w:sz w:val="22"/>
          <w:szCs w:val="22"/>
        </w:rPr>
        <w:t xml:space="preserve">Deliverables are shared as they are ready, not on a meeting schedule.</w:t>
      </w:r>
    </w:p>
    <w:p>
      <w:pPr>
        <w:pStyle w:val="ListParagraph"/>
        <w:numPr>
          <w:ilvl w:val="0"/>
          <w:numId w:val="1"/>
        </w:numPr>
        <w:spacing w:after="60" w:before="60" w:line="320" w:lineRule="auto"/>
      </w:pPr>
      <w:r>
        <w:rPr>
          <w:rFonts w:ascii="Calibri" w:cs="Calibri" w:eastAsia="Calibri" w:hAnsi="Calibri"/>
          <w:color w:val="000000"/>
          <w:sz w:val="22"/>
          <w:szCs w:val="22"/>
        </w:rPr>
        <w:t xml:space="preserve">Blockers and time-sensitive questions are raised via email immediately. Do not wait for the next Working Team meeting.</w:t>
      </w:r>
    </w:p>
    <w:p>
      <w:pPr>
        <w:pStyle w:val="ListParagraph"/>
        <w:numPr>
          <w:ilvl w:val="0"/>
          <w:numId w:val="1"/>
        </w:numPr>
        <w:spacing w:after="60" w:before="60" w:line="320" w:lineRule="auto"/>
      </w:pPr>
      <w:r>
        <w:rPr>
          <w:rFonts w:ascii="Calibri" w:cs="Calibri" w:eastAsia="Calibri" w:hAnsi="Calibri"/>
          <w:color w:val="000000"/>
          <w:sz w:val="22"/>
          <w:szCs w:val="22"/>
        </w:rPr>
        <w:t xml:space="preserve">Rolling feedback is provided on shared documents and configurations as review happens.</w:t>
      </w:r>
    </w:p>
    <w:p>
      <w:pPr>
        <w:spacing w:after="120" w:before="120" w:line="336" w:lineRule="auto"/>
        <w:jc w:val="left"/>
      </w:pPr>
      <w:r>
        <w:rPr>
          <w:rFonts w:ascii="Calibri" w:cs="Calibri" w:eastAsia="Calibri" w:hAnsi="Calibri"/>
          <w:b w:val="false"/>
          <w:bCs w:val="false"/>
          <w:i w:val="false"/>
          <w:iCs w:val="false"/>
          <w:color w:val="000000"/>
          <w:sz w:val="22"/>
          <w:szCs w:val="22"/>
        </w:rPr>
        <w:t xml:space="preserve">Both teams commit to responding to async requests within one business day during active phases. Items requiring decisions beyond the Project Champion's authority will be routed to the Steering Committee.</w:t>
      </w:r>
    </w:p>
    <w:p>
      <w:pPr>
        <w:spacing w:after="180" w:before="360"/>
      </w:pPr>
      <w:r>
        <w:rPr>
          <w:rFonts w:ascii="Calibri" w:cs="Calibri" w:eastAsia="Calibri" w:hAnsi="Calibri"/>
          <w:b/>
          <w:bCs/>
          <w:color w:val="000000"/>
          <w:sz w:val="36"/>
          <w:szCs w:val="36"/>
        </w:rPr>
        <w:t xml:space="preserve">7. Project Management and Visibility</w:t>
      </w:r>
    </w:p>
    <w:p>
      <w:pPr>
        <w:spacing w:after="120" w:before="120" w:line="336" w:lineRule="auto"/>
        <w:jc w:val="left"/>
      </w:pPr>
      <w:r>
        <w:rPr>
          <w:rFonts w:ascii="Calibri" w:cs="Calibri" w:eastAsia="Calibri" w:hAnsi="Calibri"/>
          <w:b w:val="false"/>
          <w:bCs w:val="false"/>
          <w:i w:val="false"/>
          <w:iCs w:val="false"/>
          <w:color w:val="000000"/>
          <w:sz w:val="22"/>
          <w:szCs w:val="22"/>
        </w:rPr>
        <w:t xml:space="preserve">Sayer manages this engagement through a shared project management system that serves as the single source of truth for:</w:t>
      </w:r>
    </w:p>
    <w:p>
      <w:pPr>
        <w:pStyle w:val="ListParagraph"/>
        <w:numPr>
          <w:ilvl w:val="0"/>
          <w:numId w:val="1"/>
        </w:numPr>
        <w:spacing w:after="60" w:before="60" w:line="320" w:lineRule="auto"/>
      </w:pPr>
      <w:r>
        <w:rPr>
          <w:rFonts w:ascii="Calibri" w:cs="Calibri" w:eastAsia="Calibri" w:hAnsi="Calibri"/>
          <w:color w:val="000000"/>
          <w:sz w:val="22"/>
          <w:szCs w:val="22"/>
        </w:rPr>
        <w:t xml:space="preserve">Milestone tracking across the three phases.</w:t>
      </w:r>
    </w:p>
    <w:p>
      <w:pPr>
        <w:pStyle w:val="ListParagraph"/>
        <w:numPr>
          <w:ilvl w:val="0"/>
          <w:numId w:val="1"/>
        </w:numPr>
        <w:spacing w:after="60" w:before="60" w:line="320" w:lineRule="auto"/>
      </w:pPr>
      <w:r>
        <w:rPr>
          <w:rFonts w:ascii="Calibri" w:cs="Calibri" w:eastAsia="Calibri" w:hAnsi="Calibri"/>
          <w:color w:val="000000"/>
          <w:sz w:val="22"/>
          <w:szCs w:val="22"/>
        </w:rPr>
        <w:t xml:space="preserve">Action items, decisions, and blockers.</w:t>
      </w:r>
    </w:p>
    <w:p>
      <w:pPr>
        <w:pStyle w:val="ListParagraph"/>
        <w:numPr>
          <w:ilvl w:val="0"/>
          <w:numId w:val="1"/>
        </w:numPr>
        <w:spacing w:after="60" w:before="60" w:line="320" w:lineRule="auto"/>
      </w:pPr>
      <w:r>
        <w:rPr>
          <w:rFonts w:ascii="Calibri" w:cs="Calibri" w:eastAsia="Calibri" w:hAnsi="Calibri"/>
          <w:color w:val="000000"/>
          <w:sz w:val="22"/>
          <w:szCs w:val="22"/>
        </w:rPr>
        <w:t xml:space="preserve">Document repository and deliverable status.</w:t>
      </w:r>
    </w:p>
    <w:p>
      <w:pPr>
        <w:pStyle w:val="ListParagraph"/>
        <w:numPr>
          <w:ilvl w:val="0"/>
          <w:numId w:val="1"/>
        </w:numPr>
        <w:spacing w:after="60" w:before="60" w:line="320" w:lineRule="auto"/>
      </w:pPr>
      <w:r>
        <w:rPr>
          <w:rFonts w:ascii="Calibri" w:cs="Calibri" w:eastAsia="Calibri" w:hAnsi="Calibri"/>
          <w:color w:val="000000"/>
          <w:sz w:val="22"/>
          <w:szCs w:val="22"/>
        </w:rPr>
        <w:t xml:space="preserve">Phase-gate success criteria and sign-off.</w:t>
      </w:r>
    </w:p>
    <w:p>
      <w:pPr>
        <w:spacing w:after="120" w:before="120" w:line="336" w:lineRule="auto"/>
        <w:jc w:val="left"/>
      </w:pPr>
      <w:r>
        <w:rPr>
          <w:rFonts w:ascii="Calibri" w:cs="Calibri" w:eastAsia="Calibri" w:hAnsi="Calibri"/>
          <w:b w:val="false"/>
          <w:bCs w:val="false"/>
          <w:i w:val="false"/>
          <w:iCs w:val="false"/>
          <w:color w:val="000000"/>
          <w:sz w:val="22"/>
          <w:szCs w:val="22"/>
        </w:rPr>
        <w:t xml:space="preserve">Access is provisioned at kickoff. The Milestone Project Champion and designated stakeholders receive viewer access to a client-facing project plan that mirrors internal tracking without exposing internal-only detail. Client-facing documentation is also maintained in a shared Google Drive data room, established at kickoff.</w:t>
      </w:r>
    </w:p>
    <w:p>
      <w:pPr>
        <w:spacing w:after="180" w:before="360"/>
      </w:pPr>
      <w:r>
        <w:rPr>
          <w:rFonts w:ascii="Calibri" w:cs="Calibri" w:eastAsia="Calibri" w:hAnsi="Calibri"/>
          <w:b/>
          <w:bCs/>
          <w:color w:val="000000"/>
          <w:sz w:val="36"/>
          <w:szCs w:val="36"/>
        </w:rPr>
        <w:t xml:space="preserve">8. Meeting Cadence Summary</w:t>
      </w:r>
    </w:p>
    <w:p>
      <w:pPr>
        <w:spacing w:after="120" w:before="120" w:line="336" w:lineRule="auto"/>
        <w:jc w:val="left"/>
      </w:pPr>
      <w:r>
        <w:rPr>
          <w:rFonts w:ascii="Calibri" w:cs="Calibri" w:eastAsia="Calibri" w:hAnsi="Calibri"/>
          <w:b w:val="false"/>
          <w:bCs w:val="false"/>
          <w:i w:val="false"/>
          <w:iCs w:val="false"/>
          <w:color w:val="000000"/>
          <w:sz w:val="22"/>
          <w:szCs w:val="22"/>
        </w:rPr>
        <w:t xml:space="preserve">A quick-reference view of all scheduled communication for this engagement.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600"/>
            <w:tcBorders>
              <w:top w:val="single" w:color="BCBCBC" w:sz="4"/>
              <w:left w:val="single" w:color="BCBCBC" w:sz="4"/>
              <w:bottom w:val="single" w:color="BCBCBC" w:sz="4"/>
              <w:right w:val="single" w:color="BCBCBC" w:sz="4"/>
            </w:tcBorders>
            <w:shd w:fill="FEC700" w:color="FEC700" w:val="solid"/>
          </w:tcPr>
          <w:p>
            <w:pPr>
              <w:spacing w:after="80" w:before="80" w:line="300" w:lineRule="auto"/>
              <w:jc w:val="left"/>
            </w:pPr>
            <w:r>
              <w:rPr>
                <w:rFonts w:ascii="Calibri" w:cs="Calibri" w:eastAsia="Calibri" w:hAnsi="Calibri"/>
                <w:b/>
                <w:bCs/>
                <w:color w:val="000000"/>
                <w:sz w:val="22"/>
                <w:szCs w:val="22"/>
              </w:rPr>
              <w:t xml:space="preserve">Meeting</w:t>
            </w:r>
          </w:p>
        </w:tc>
        <w:tc>
          <w:tcPr>
            <w:tcW w:type="dxa" w:w="2000"/>
            <w:tcBorders>
              <w:top w:val="single" w:color="BCBCBC" w:sz="4"/>
              <w:left w:val="single" w:color="BCBCBC" w:sz="4"/>
              <w:bottom w:val="single" w:color="BCBCBC" w:sz="4"/>
              <w:right w:val="single" w:color="BCBCBC" w:sz="4"/>
            </w:tcBorders>
            <w:shd w:fill="FEC700" w:color="FEC700" w:val="solid"/>
          </w:tcPr>
          <w:p>
            <w:pPr>
              <w:spacing w:after="80" w:before="80" w:line="300" w:lineRule="auto"/>
              <w:jc w:val="left"/>
            </w:pPr>
            <w:r>
              <w:rPr>
                <w:rFonts w:ascii="Calibri" w:cs="Calibri" w:eastAsia="Calibri" w:hAnsi="Calibri"/>
                <w:b/>
                <w:bCs/>
                <w:color w:val="000000"/>
                <w:sz w:val="22"/>
                <w:szCs w:val="22"/>
              </w:rPr>
              <w:t xml:space="preserve">Frequency</w:t>
            </w:r>
          </w:p>
        </w:tc>
        <w:tc>
          <w:tcPr>
            <w:tcW w:type="dxa" w:w="2740"/>
            <w:tcBorders>
              <w:top w:val="single" w:color="BCBCBC" w:sz="4"/>
              <w:left w:val="single" w:color="BCBCBC" w:sz="4"/>
              <w:bottom w:val="single" w:color="BCBCBC" w:sz="4"/>
              <w:right w:val="single" w:color="BCBCBC" w:sz="4"/>
            </w:tcBorders>
            <w:shd w:fill="FEC700" w:color="FEC700" w:val="solid"/>
          </w:tcPr>
          <w:p>
            <w:pPr>
              <w:spacing w:after="80" w:before="80" w:line="300" w:lineRule="auto"/>
              <w:jc w:val="left"/>
            </w:pPr>
            <w:r>
              <w:rPr>
                <w:rFonts w:ascii="Calibri" w:cs="Calibri" w:eastAsia="Calibri" w:hAnsi="Calibri"/>
                <w:b/>
                <w:bCs/>
                <w:color w:val="000000"/>
                <w:sz w:val="22"/>
                <w:szCs w:val="22"/>
              </w:rPr>
              <w:t xml:space="preserve">Attendees</w:t>
            </w:r>
          </w:p>
        </w:tc>
        <w:tc>
          <w:tcPr>
            <w:tcW w:type="dxa" w:w="2740"/>
            <w:tcBorders>
              <w:top w:val="single" w:color="BCBCBC" w:sz="4"/>
              <w:left w:val="single" w:color="BCBCBC" w:sz="4"/>
              <w:bottom w:val="single" w:color="BCBCBC" w:sz="4"/>
              <w:right w:val="single" w:color="BCBCBC" w:sz="4"/>
            </w:tcBorders>
            <w:shd w:fill="FEC700" w:color="FEC700" w:val="solid"/>
          </w:tcPr>
          <w:p>
            <w:pPr>
              <w:spacing w:after="80" w:before="80" w:line="300" w:lineRule="auto"/>
              <w:jc w:val="left"/>
            </w:pPr>
            <w:r>
              <w:rPr>
                <w:rFonts w:ascii="Calibri" w:cs="Calibri" w:eastAsia="Calibri" w:hAnsi="Calibri"/>
                <w:b/>
                <w:bCs/>
                <w:color w:val="000000"/>
                <w:sz w:val="22"/>
                <w:szCs w:val="22"/>
              </w:rPr>
              <w:t xml:space="preserve">Purpose</w:t>
            </w:r>
          </w:p>
        </w:tc>
      </w:tr>
      <w:tr>
        <w:tc>
          <w:tcPr>
            <w:tcW w:type="dxa" w:w="260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Steering Committee</w:t>
            </w:r>
          </w:p>
        </w:tc>
        <w:tc>
          <w:tcPr>
            <w:tcW w:type="dxa" w:w="200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Biweekly</w:t>
            </w:r>
          </w:p>
        </w:tc>
        <w:tc>
          <w:tcPr>
            <w:tcW w:type="dxa" w:w="274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Project Champion, Sayer Project Lead, Sayer Executive Sponsor</w:t>
            </w:r>
          </w:p>
        </w:tc>
        <w:tc>
          <w:tcPr>
            <w:tcW w:type="dxa" w:w="274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Decisions, blockers, strategic alignment</w:t>
            </w:r>
          </w:p>
        </w:tc>
      </w:tr>
      <w:tr>
        <w:tc>
          <w:tcPr>
            <w:tcW w:type="dxa" w:w="2600"/>
            <w:tcBorders>
              <w:top w:val="single" w:color="BCBCBC" w:sz="4"/>
              <w:left w:val="single" w:color="BCBCBC" w:sz="4"/>
              <w:bottom w:val="single" w:color="BCBCBC" w:sz="4"/>
              <w:right w:val="single" w:color="BCBCBC" w:sz="4"/>
            </w:tcBorders>
          </w:tcPr>
          <w:p>
            <w:pPr>
              <w:spacing w:after="80" w:before="80" w:line="300" w:lineRule="auto"/>
              <w:jc w:val="left"/>
            </w:pPr>
            <w:r>
              <w:rPr>
                <w:rFonts w:ascii="Calibri" w:cs="Calibri" w:eastAsia="Calibri" w:hAnsi="Calibri"/>
                <w:b w:val="false"/>
                <w:bCs w:val="false"/>
                <w:color w:val="000000"/>
                <w:sz w:val="22"/>
                <w:szCs w:val="22"/>
              </w:rPr>
              <w:t xml:space="preserve">Working Team</w:t>
            </w:r>
          </w:p>
        </w:tc>
        <w:tc>
          <w:tcPr>
            <w:tcW w:type="dxa" w:w="2000"/>
            <w:tcBorders>
              <w:top w:val="single" w:color="BCBCBC" w:sz="4"/>
              <w:left w:val="single" w:color="BCBCBC" w:sz="4"/>
              <w:bottom w:val="single" w:color="BCBCBC" w:sz="4"/>
              <w:right w:val="single" w:color="BCBCBC" w:sz="4"/>
            </w:tcBorders>
          </w:tcPr>
          <w:p>
            <w:pPr>
              <w:spacing w:after="80" w:before="80" w:line="300" w:lineRule="auto"/>
              <w:jc w:val="left"/>
            </w:pPr>
            <w:r>
              <w:rPr>
                <w:rFonts w:ascii="Calibri" w:cs="Calibri" w:eastAsia="Calibri" w:hAnsi="Calibri"/>
                <w:b w:val="false"/>
                <w:bCs w:val="false"/>
                <w:color w:val="000000"/>
                <w:sz w:val="22"/>
                <w:szCs w:val="22"/>
              </w:rPr>
              <w:t xml:space="preserve">Weekly (Mon 2pm CT)</w:t>
            </w:r>
          </w:p>
        </w:tc>
        <w:tc>
          <w:tcPr>
            <w:tcW w:type="dxa" w:w="2740"/>
            <w:tcBorders>
              <w:top w:val="single" w:color="BCBCBC" w:sz="4"/>
              <w:left w:val="single" w:color="BCBCBC" w:sz="4"/>
              <w:bottom w:val="single" w:color="BCBCBC" w:sz="4"/>
              <w:right w:val="single" w:color="BCBCBC" w:sz="4"/>
            </w:tcBorders>
          </w:tcPr>
          <w:p>
            <w:pPr>
              <w:spacing w:after="80" w:before="80" w:line="300" w:lineRule="auto"/>
              <w:jc w:val="left"/>
            </w:pPr>
            <w:r>
              <w:rPr>
                <w:rFonts w:ascii="Calibri" w:cs="Calibri" w:eastAsia="Calibri" w:hAnsi="Calibri"/>
                <w:b w:val="false"/>
                <w:bCs w:val="false"/>
                <w:color w:val="000000"/>
                <w:sz w:val="22"/>
                <w:szCs w:val="22"/>
              </w:rPr>
              <w:t xml:space="preserve">Sayer Project Lead, Sayer Project Support, Milestone Project Champion or designee</w:t>
            </w:r>
          </w:p>
        </w:tc>
        <w:tc>
          <w:tcPr>
            <w:tcW w:type="dxa" w:w="2740"/>
            <w:tcBorders>
              <w:top w:val="single" w:color="BCBCBC" w:sz="4"/>
              <w:left w:val="single" w:color="BCBCBC" w:sz="4"/>
              <w:bottom w:val="single" w:color="BCBCBC" w:sz="4"/>
              <w:right w:val="single" w:color="BCBCBC" w:sz="4"/>
            </w:tcBorders>
          </w:tcPr>
          <w:p>
            <w:pPr>
              <w:spacing w:after="80" w:before="80" w:line="300" w:lineRule="auto"/>
              <w:jc w:val="left"/>
            </w:pPr>
            <w:r>
              <w:rPr>
                <w:rFonts w:ascii="Calibri" w:cs="Calibri" w:eastAsia="Calibri" w:hAnsi="Calibri"/>
                <w:b w:val="false"/>
                <w:bCs w:val="false"/>
                <w:color w:val="000000"/>
                <w:sz w:val="22"/>
                <w:szCs w:val="22"/>
              </w:rPr>
              <w:t xml:space="preserve">Operational planning, data coordination, WIP review</w:t>
            </w:r>
          </w:p>
        </w:tc>
      </w:tr>
      <w:tr>
        <w:tc>
          <w:tcPr>
            <w:tcW w:type="dxa" w:w="260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Phase Review</w:t>
            </w:r>
          </w:p>
        </w:tc>
        <w:tc>
          <w:tcPr>
            <w:tcW w:type="dxa" w:w="200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End of each phase</w:t>
            </w:r>
          </w:p>
        </w:tc>
        <w:tc>
          <w:tcPr>
            <w:tcW w:type="dxa" w:w="274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Steering Committee + full working team + Sayer delivery team</w:t>
            </w:r>
          </w:p>
        </w:tc>
        <w:tc>
          <w:tcPr>
            <w:tcW w:type="dxa" w:w="274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Phase completion sign-off, success criteria review</w:t>
            </w:r>
          </w:p>
        </w:tc>
      </w:tr>
      <w:tr>
        <w:tc>
          <w:tcPr>
            <w:tcW w:type="dxa" w:w="2600"/>
            <w:tcBorders>
              <w:top w:val="single" w:color="BCBCBC" w:sz="4"/>
              <w:left w:val="single" w:color="BCBCBC" w:sz="4"/>
              <w:bottom w:val="single" w:color="BCBCBC" w:sz="4"/>
              <w:right w:val="single" w:color="BCBCBC" w:sz="4"/>
            </w:tcBorders>
          </w:tcPr>
          <w:p>
            <w:pPr>
              <w:spacing w:after="80" w:before="80" w:line="300" w:lineRule="auto"/>
              <w:jc w:val="left"/>
            </w:pPr>
            <w:r>
              <w:rPr>
                <w:rFonts w:ascii="Calibri" w:cs="Calibri" w:eastAsia="Calibri" w:hAnsi="Calibri"/>
                <w:b w:val="false"/>
                <w:bCs w:val="false"/>
                <w:color w:val="000000"/>
                <w:sz w:val="22"/>
                <w:szCs w:val="22"/>
              </w:rPr>
              <w:t xml:space="preserve">Training Sessions</w:t>
            </w:r>
          </w:p>
        </w:tc>
        <w:tc>
          <w:tcPr>
            <w:tcW w:type="dxa" w:w="2000"/>
            <w:tcBorders>
              <w:top w:val="single" w:color="BCBCBC" w:sz="4"/>
              <w:left w:val="single" w:color="BCBCBC" w:sz="4"/>
              <w:bottom w:val="single" w:color="BCBCBC" w:sz="4"/>
              <w:right w:val="single" w:color="BCBCBC" w:sz="4"/>
            </w:tcBorders>
          </w:tcPr>
          <w:p>
            <w:pPr>
              <w:spacing w:after="80" w:before="80" w:line="300" w:lineRule="auto"/>
              <w:jc w:val="left"/>
            </w:pPr>
            <w:r>
              <w:rPr>
                <w:rFonts w:ascii="Calibri" w:cs="Calibri" w:eastAsia="Calibri" w:hAnsi="Calibri"/>
                <w:b w:val="false"/>
                <w:bCs w:val="false"/>
                <w:color w:val="000000"/>
                <w:sz w:val="22"/>
                <w:szCs w:val="22"/>
              </w:rPr>
              <w:t xml:space="preserve">Phase 3</w:t>
            </w:r>
          </w:p>
        </w:tc>
        <w:tc>
          <w:tcPr>
            <w:tcW w:type="dxa" w:w="2740"/>
            <w:tcBorders>
              <w:top w:val="single" w:color="BCBCBC" w:sz="4"/>
              <w:left w:val="single" w:color="BCBCBC" w:sz="4"/>
              <w:bottom w:val="single" w:color="BCBCBC" w:sz="4"/>
              <w:right w:val="single" w:color="BCBCBC" w:sz="4"/>
            </w:tcBorders>
          </w:tcPr>
          <w:p>
            <w:pPr>
              <w:spacing w:after="80" w:before="80" w:line="300" w:lineRule="auto"/>
              <w:jc w:val="left"/>
            </w:pPr>
            <w:r>
              <w:rPr>
                <w:rFonts w:ascii="Calibri" w:cs="Calibri" w:eastAsia="Calibri" w:hAnsi="Calibri"/>
                <w:b w:val="false"/>
                <w:bCs w:val="false"/>
                <w:color w:val="000000"/>
                <w:sz w:val="22"/>
                <w:szCs w:val="22"/>
              </w:rPr>
              <w:t xml:space="preserve">All Milestone CRM users + Kyle Harbuck</w:t>
            </w:r>
          </w:p>
        </w:tc>
        <w:tc>
          <w:tcPr>
            <w:tcW w:type="dxa" w:w="2740"/>
            <w:tcBorders>
              <w:top w:val="single" w:color="BCBCBC" w:sz="4"/>
              <w:left w:val="single" w:color="BCBCBC" w:sz="4"/>
              <w:bottom w:val="single" w:color="BCBCBC" w:sz="4"/>
              <w:right w:val="single" w:color="BCBCBC" w:sz="4"/>
            </w:tcBorders>
          </w:tcPr>
          <w:p>
            <w:pPr>
              <w:spacing w:after="80" w:before="80" w:line="300" w:lineRule="auto"/>
              <w:jc w:val="left"/>
            </w:pPr>
            <w:r>
              <w:rPr>
                <w:rFonts w:ascii="Calibri" w:cs="Calibri" w:eastAsia="Calibri" w:hAnsi="Calibri"/>
                <w:b w:val="false"/>
                <w:bCs w:val="false"/>
                <w:color w:val="000000"/>
                <w:sz w:val="22"/>
                <w:szCs w:val="22"/>
              </w:rPr>
              <w:t xml:space="preserve">Admin and end-user enablement</w:t>
            </w:r>
          </w:p>
        </w:tc>
      </w:tr>
      <w:tr>
        <w:tc>
          <w:tcPr>
            <w:tcW w:type="dxa" w:w="260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UAT Sessions</w:t>
            </w:r>
          </w:p>
        </w:tc>
        <w:tc>
          <w:tcPr>
            <w:tcW w:type="dxa" w:w="200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Phase 3</w:t>
            </w:r>
          </w:p>
        </w:tc>
        <w:tc>
          <w:tcPr>
            <w:tcW w:type="dxa" w:w="274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Project Champion, Operations Lead, power users + Sayer team</w:t>
            </w:r>
          </w:p>
        </w:tc>
        <w:tc>
          <w:tcPr>
            <w:tcW w:type="dxa" w:w="2740"/>
            <w:tcBorders>
              <w:top w:val="single" w:color="BCBCBC" w:sz="4"/>
              <w:left w:val="single" w:color="BCBCBC" w:sz="4"/>
              <w:bottom w:val="single" w:color="BCBCBC" w:sz="4"/>
              <w:right w:val="single" w:color="BCBCBC" w:sz="4"/>
            </w:tcBorders>
            <w:shd w:fill="E3E3E3" w:color="E3E3E3" w:val="solid"/>
          </w:tcPr>
          <w:p>
            <w:pPr>
              <w:spacing w:after="80" w:before="80" w:line="300" w:lineRule="auto"/>
              <w:jc w:val="left"/>
            </w:pPr>
            <w:r>
              <w:rPr>
                <w:rFonts w:ascii="Calibri" w:cs="Calibri" w:eastAsia="Calibri" w:hAnsi="Calibri"/>
                <w:b w:val="false"/>
                <w:bCs w:val="false"/>
                <w:color w:val="000000"/>
                <w:sz w:val="22"/>
                <w:szCs w:val="22"/>
              </w:rPr>
              <w:t xml:space="preserve">Testing and bug triage pre-go-live</w:t>
            </w:r>
          </w:p>
        </w:tc>
      </w:tr>
      <w:tr>
        <w:tc>
          <w:tcPr>
            <w:tcW w:type="dxa" w:w="2600"/>
            <w:tcBorders>
              <w:top w:val="single" w:color="BCBCBC" w:sz="4"/>
              <w:left w:val="single" w:color="BCBCBC" w:sz="4"/>
              <w:bottom w:val="single" w:color="BCBCBC" w:sz="4"/>
              <w:right w:val="single" w:color="BCBCBC" w:sz="4"/>
            </w:tcBorders>
          </w:tcPr>
          <w:p>
            <w:pPr>
              <w:spacing w:after="80" w:before="80" w:line="300" w:lineRule="auto"/>
              <w:jc w:val="left"/>
            </w:pPr>
            <w:r>
              <w:rPr>
                <w:rFonts w:ascii="Calibri" w:cs="Calibri" w:eastAsia="Calibri" w:hAnsi="Calibri"/>
                <w:b w:val="false"/>
                <w:bCs w:val="false"/>
                <w:color w:val="000000"/>
                <w:sz w:val="22"/>
                <w:szCs w:val="22"/>
              </w:rPr>
              <w:t xml:space="preserve">Async Communication</w:t>
            </w:r>
          </w:p>
        </w:tc>
        <w:tc>
          <w:tcPr>
            <w:tcW w:type="dxa" w:w="2000"/>
            <w:tcBorders>
              <w:top w:val="single" w:color="BCBCBC" w:sz="4"/>
              <w:left w:val="single" w:color="BCBCBC" w:sz="4"/>
              <w:bottom w:val="single" w:color="BCBCBC" w:sz="4"/>
              <w:right w:val="single" w:color="BCBCBC" w:sz="4"/>
            </w:tcBorders>
          </w:tcPr>
          <w:p>
            <w:pPr>
              <w:spacing w:after="80" w:before="80" w:line="300" w:lineRule="auto"/>
              <w:jc w:val="left"/>
            </w:pPr>
            <w:r>
              <w:rPr>
                <w:rFonts w:ascii="Calibri" w:cs="Calibri" w:eastAsia="Calibri" w:hAnsi="Calibri"/>
                <w:b w:val="false"/>
                <w:bCs w:val="false"/>
                <w:color w:val="000000"/>
                <w:sz w:val="22"/>
                <w:szCs w:val="22"/>
              </w:rPr>
              <w:t xml:space="preserve">Ongoing</w:t>
            </w:r>
          </w:p>
        </w:tc>
        <w:tc>
          <w:tcPr>
            <w:tcW w:type="dxa" w:w="2740"/>
            <w:tcBorders>
              <w:top w:val="single" w:color="BCBCBC" w:sz="4"/>
              <w:left w:val="single" w:color="BCBCBC" w:sz="4"/>
              <w:bottom w:val="single" w:color="BCBCBC" w:sz="4"/>
              <w:right w:val="single" w:color="BCBCBC" w:sz="4"/>
            </w:tcBorders>
          </w:tcPr>
          <w:p>
            <w:pPr>
              <w:spacing w:after="80" w:before="80" w:line="300" w:lineRule="auto"/>
              <w:jc w:val="left"/>
            </w:pPr>
            <w:r>
              <w:rPr>
                <w:rFonts w:ascii="Calibri" w:cs="Calibri" w:eastAsia="Calibri" w:hAnsi="Calibri"/>
                <w:b w:val="false"/>
                <w:bCs w:val="false"/>
                <w:color w:val="000000"/>
                <w:sz w:val="22"/>
                <w:szCs w:val="22"/>
              </w:rPr>
              <w:t xml:space="preserve">All team members</w:t>
            </w:r>
          </w:p>
        </w:tc>
        <w:tc>
          <w:tcPr>
            <w:tcW w:type="dxa" w:w="2740"/>
            <w:tcBorders>
              <w:top w:val="single" w:color="BCBCBC" w:sz="4"/>
              <w:left w:val="single" w:color="BCBCBC" w:sz="4"/>
              <w:bottom w:val="single" w:color="BCBCBC" w:sz="4"/>
              <w:right w:val="single" w:color="BCBCBC" w:sz="4"/>
            </w:tcBorders>
          </w:tcPr>
          <w:p>
            <w:pPr>
              <w:spacing w:after="80" w:before="80" w:line="300" w:lineRule="auto"/>
              <w:jc w:val="left"/>
            </w:pPr>
            <w:r>
              <w:rPr>
                <w:rFonts w:ascii="Calibri" w:cs="Calibri" w:eastAsia="Calibri" w:hAnsi="Calibri"/>
                <w:b w:val="false"/>
                <w:bCs w:val="false"/>
                <w:color w:val="000000"/>
                <w:sz w:val="22"/>
                <w:szCs w:val="22"/>
              </w:rPr>
              <w:t xml:space="preserve">Blockers, feedback, deliverable sharing between meetings</w:t>
            </w:r>
          </w:p>
        </w:tc>
      </w:tr>
    </w:tbl>
    <w:p>
      <w:pPr>
        <w:spacing w:after="180" w:before="360"/>
      </w:pPr>
      <w:r>
        <w:rPr>
          <w:rFonts w:ascii="Calibri" w:cs="Calibri" w:eastAsia="Calibri" w:hAnsi="Calibri"/>
          <w:b/>
          <w:bCs/>
          <w:color w:val="000000"/>
          <w:sz w:val="36"/>
          <w:szCs w:val="36"/>
        </w:rPr>
        <w:t xml:space="preserve">9. Mutual Accountability</w:t>
      </w:r>
    </w:p>
    <w:p>
      <w:pPr>
        <w:spacing w:after="120" w:before="120" w:line="336" w:lineRule="auto"/>
        <w:jc w:val="left"/>
      </w:pPr>
      <w:r>
        <w:rPr>
          <w:rFonts w:ascii="Calibri" w:cs="Calibri" w:eastAsia="Calibri" w:hAnsi="Calibri"/>
          <w:b w:val="false"/>
          <w:bCs w:val="false"/>
          <w:i w:val="false"/>
          <w:iCs w:val="false"/>
          <w:color w:val="000000"/>
          <w:sz w:val="22"/>
          <w:szCs w:val="22"/>
        </w:rPr>
        <w:t xml:space="preserve">This engagement is a partnership. Both sides have commitments that make the engagement successful. Neither side can deliver Milestone's HubSpot implementation alone.</w:t>
      </w:r>
    </w:p>
    <w:p>
      <w:pPr>
        <w:spacing w:after="140" w:before="280"/>
      </w:pPr>
      <w:r>
        <w:rPr>
          <w:rFonts w:ascii="Calibri" w:cs="Calibri" w:eastAsia="Calibri" w:hAnsi="Calibri"/>
          <w:b/>
          <w:bCs/>
          <w:color w:val="000000"/>
          <w:sz w:val="28"/>
          <w:szCs w:val="28"/>
        </w:rPr>
        <w:t xml:space="preserve">Sayer commits to:</w:t>
      </w:r>
    </w:p>
    <w:p>
      <w:pPr>
        <w:pStyle w:val="ListParagraph"/>
        <w:numPr>
          <w:ilvl w:val="0"/>
          <w:numId w:val="1"/>
        </w:numPr>
        <w:spacing w:after="60" w:before="60" w:line="320" w:lineRule="auto"/>
      </w:pPr>
      <w:r>
        <w:rPr>
          <w:rFonts w:ascii="Calibri" w:cs="Calibri" w:eastAsia="Calibri" w:hAnsi="Calibri"/>
          <w:color w:val="000000"/>
          <w:sz w:val="22"/>
          <w:szCs w:val="22"/>
        </w:rPr>
        <w:t xml:space="preserve">Coming prepared to every meeting with clear updates and defined next steps.</w:t>
      </w:r>
    </w:p>
    <w:p>
      <w:pPr>
        <w:pStyle w:val="ListParagraph"/>
        <w:numPr>
          <w:ilvl w:val="0"/>
          <w:numId w:val="1"/>
        </w:numPr>
        <w:spacing w:after="60" w:before="60" w:line="320" w:lineRule="auto"/>
      </w:pPr>
      <w:r>
        <w:rPr>
          <w:rFonts w:ascii="Calibri" w:cs="Calibri" w:eastAsia="Calibri" w:hAnsi="Calibri"/>
          <w:color w:val="000000"/>
          <w:sz w:val="22"/>
          <w:szCs w:val="22"/>
        </w:rPr>
        <w:t xml:space="preserve">Delivering iterative configurations and recommendations as work progresses, not only at phase-end.</w:t>
      </w:r>
    </w:p>
    <w:p>
      <w:pPr>
        <w:pStyle w:val="ListParagraph"/>
        <w:numPr>
          <w:ilvl w:val="0"/>
          <w:numId w:val="1"/>
        </w:numPr>
        <w:spacing w:after="60" w:before="60" w:line="320" w:lineRule="auto"/>
      </w:pPr>
      <w:r>
        <w:rPr>
          <w:rFonts w:ascii="Calibri" w:cs="Calibri" w:eastAsia="Calibri" w:hAnsi="Calibri"/>
          <w:color w:val="000000"/>
          <w:sz w:val="22"/>
          <w:szCs w:val="22"/>
        </w:rPr>
        <w:t xml:space="preserve">Raising issues, risks, or scope considerations proactively.</w:t>
      </w:r>
    </w:p>
    <w:p>
      <w:pPr>
        <w:pStyle w:val="ListParagraph"/>
        <w:numPr>
          <w:ilvl w:val="0"/>
          <w:numId w:val="1"/>
        </w:numPr>
        <w:spacing w:after="60" w:before="60" w:line="320" w:lineRule="auto"/>
      </w:pPr>
      <w:r>
        <w:rPr>
          <w:rFonts w:ascii="Calibri" w:cs="Calibri" w:eastAsia="Calibri" w:hAnsi="Calibri"/>
          <w:color w:val="000000"/>
          <w:sz w:val="22"/>
          <w:szCs w:val="22"/>
        </w:rPr>
        <w:t xml:space="preserve">Providing working sessions and office hours as needed to unblock the Milestone team.</w:t>
      </w:r>
    </w:p>
    <w:p>
      <w:pPr>
        <w:pStyle w:val="ListParagraph"/>
        <w:numPr>
          <w:ilvl w:val="0"/>
          <w:numId w:val="1"/>
        </w:numPr>
        <w:spacing w:after="60" w:before="60" w:line="320" w:lineRule="auto"/>
      </w:pPr>
      <w:r>
        <w:rPr>
          <w:rFonts w:ascii="Calibri" w:cs="Calibri" w:eastAsia="Calibri" w:hAnsi="Calibri"/>
          <w:color w:val="000000"/>
          <w:sz w:val="22"/>
          <w:szCs w:val="22"/>
        </w:rPr>
        <w:t xml:space="preserve">Hypercare support for two weeks post-go-live.</w:t>
      </w:r>
    </w:p>
    <w:p>
      <w:pPr>
        <w:spacing w:after="140" w:before="280"/>
      </w:pPr>
      <w:r>
        <w:rPr>
          <w:rFonts w:ascii="Calibri" w:cs="Calibri" w:eastAsia="Calibri" w:hAnsi="Calibri"/>
          <w:b/>
          <w:bCs/>
          <w:color w:val="000000"/>
          <w:sz w:val="28"/>
          <w:szCs w:val="28"/>
        </w:rPr>
        <w:t xml:space="preserve">The Milestone team commits to:</w:t>
      </w:r>
    </w:p>
    <w:p>
      <w:pPr>
        <w:pStyle w:val="ListParagraph"/>
        <w:numPr>
          <w:ilvl w:val="0"/>
          <w:numId w:val="1"/>
        </w:numPr>
        <w:spacing w:after="60" w:before="60" w:line="320" w:lineRule="auto"/>
      </w:pPr>
      <w:r>
        <w:rPr>
          <w:rFonts w:ascii="Calibri" w:cs="Calibri" w:eastAsia="Calibri" w:hAnsi="Calibri"/>
          <w:color w:val="000000"/>
          <w:sz w:val="22"/>
          <w:szCs w:val="22"/>
        </w:rPr>
        <w:t xml:space="preserve">Designating a Project Champion who is empowered to remove blockers, facilitate access, and drive internal coordination.</w:t>
      </w:r>
    </w:p>
    <w:p>
      <w:pPr>
        <w:pStyle w:val="ListParagraph"/>
        <w:numPr>
          <w:ilvl w:val="0"/>
          <w:numId w:val="1"/>
        </w:numPr>
        <w:spacing w:after="60" w:before="60" w:line="320" w:lineRule="auto"/>
      </w:pPr>
      <w:r>
        <w:rPr>
          <w:rFonts w:ascii="Calibri" w:cs="Calibri" w:eastAsia="Calibri" w:hAnsi="Calibri"/>
          <w:color w:val="000000"/>
          <w:sz w:val="22"/>
          <w:szCs w:val="22"/>
        </w:rPr>
        <w:t xml:space="preserve">Providing complete contact exports from Excel, OneNote, Outlook, and Zoho by the end of week 2.</w:t>
      </w:r>
    </w:p>
    <w:p>
      <w:pPr>
        <w:pStyle w:val="ListParagraph"/>
        <w:numPr>
          <w:ilvl w:val="0"/>
          <w:numId w:val="1"/>
        </w:numPr>
        <w:spacing w:after="60" w:before="60" w:line="320" w:lineRule="auto"/>
      </w:pPr>
      <w:r>
        <w:rPr>
          <w:rFonts w:ascii="Calibri" w:cs="Calibri" w:eastAsia="Calibri" w:hAnsi="Calibri"/>
          <w:color w:val="000000"/>
          <w:sz w:val="22"/>
          <w:szCs w:val="22"/>
        </w:rPr>
        <w:t xml:space="preserve">Responding to information requests and scheduling needs in a timely manner (target: one business day during active phases).</w:t>
      </w:r>
    </w:p>
    <w:p>
      <w:pPr>
        <w:pStyle w:val="ListParagraph"/>
        <w:numPr>
          <w:ilvl w:val="0"/>
          <w:numId w:val="1"/>
        </w:numPr>
        <w:spacing w:after="60" w:before="60" w:line="320" w:lineRule="auto"/>
      </w:pPr>
      <w:r>
        <w:rPr>
          <w:rFonts w:ascii="Calibri" w:cs="Calibri" w:eastAsia="Calibri" w:hAnsi="Calibri"/>
          <w:color w:val="000000"/>
          <w:sz w:val="22"/>
          <w:szCs w:val="22"/>
        </w:rPr>
        <w:t xml:space="preserve">Making key stakeholders available for interviews, UAT, and training sessions as needed.</w:t>
      </w:r>
    </w:p>
    <w:p>
      <w:pPr>
        <w:pStyle w:val="ListParagraph"/>
        <w:numPr>
          <w:ilvl w:val="0"/>
          <w:numId w:val="1"/>
        </w:numPr>
        <w:spacing w:after="60" w:before="60" w:line="320" w:lineRule="auto"/>
      </w:pPr>
      <w:r>
        <w:rPr>
          <w:rFonts w:ascii="Calibri" w:cs="Calibri" w:eastAsia="Calibri" w:hAnsi="Calibri"/>
          <w:color w:val="000000"/>
          <w:sz w:val="22"/>
          <w:szCs w:val="22"/>
        </w:rPr>
        <w:t xml:space="preserve">Providing timely feedback on deliverables, configurations, and recommendations to keep the project moving.</w:t>
      </w:r>
    </w:p>
    <w:p>
      <w:pPr>
        <w:pStyle w:val="ListParagraph"/>
        <w:numPr>
          <w:ilvl w:val="0"/>
          <w:numId w:val="1"/>
        </w:numPr>
        <w:spacing w:after="60" w:before="60" w:line="320" w:lineRule="auto"/>
      </w:pPr>
      <w:r>
        <w:rPr>
          <w:rFonts w:ascii="Calibri" w:cs="Calibri" w:eastAsia="Calibri" w:hAnsi="Calibri"/>
          <w:color w:val="000000"/>
          <w:sz w:val="22"/>
          <w:szCs w:val="22"/>
        </w:rPr>
        <w:t xml:space="preserve">Championing CRM adoption internally. Leadership must set expectations for usage once the system goes live.</w:t>
      </w:r>
    </w:p>
    <w:sectPr>
      <w:headerReference w:type="default" r:id="rId7"/>
      <w:footerReference w:type="default" r:id="rId8"/>
      <w:pgSz w:w="12240" w:h="15840" w:orient="portrait"/>
      <w:pgMar w:top="1440" w:right="1080" w:bottom="1440" w:left="108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CBCBC" w:sz="4" w:space="2"/>
      </w:pBdr>
      <w:tabs>
        <w:tab w:val="right" w:pos="9026"/>
      </w:tabs>
    </w:pPr>
    <w:r>
      <w:rPr>
        <w:rFonts w:ascii="Calibri" w:cs="Calibri" w:eastAsia="Calibri" w:hAnsi="Calibri"/>
        <w:b/>
        <w:bCs/>
        <w:color w:val="7E7E7E"/>
        <w:sz w:val="18"/>
        <w:szCs w:val="18"/>
      </w:rPr>
      <w:t xml:space="preserve">CONFIDENTIAL</w:t>
    </w:r>
    <w:r>
      <w:rPr>
        <w:rFonts w:ascii="Calibri" w:cs="Calibri" w:eastAsia="Calibri" w:hAnsi="Calibri"/>
      </w:rPr>
      <w:t xml:space="preserve">	</w:t>
    </w:r>
    <w:r>
      <w:rPr>
        <w:rFonts w:ascii="Calibri" w:cs="Calibri" w:eastAsia="Calibri" w:hAnsi="Calibri"/>
        <w:color w:val="7E7E7E"/>
        <w:sz w:val="18"/>
        <w:szCs w:val="18"/>
      </w:rPr>
      <w:t xml:space="preserve">Page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rPr>
        <w:rFonts w:ascii="Calibri" w:cs="Calibri" w:eastAsia="Calibri" w:hAnsi="Calibri"/>
        <w:b/>
        <w:bCs/>
        <w:color w:val="FEC700"/>
        <w:sz w:val="22"/>
        <w:szCs w:val="22"/>
      </w:rPr>
      <w:t xml:space="preserve">sayer</w:t>
    </w:r>
    <w:r>
      <w:rPr>
        <w:rFonts w:ascii="Calibri" w:cs="Calibri" w:eastAsia="Calibri" w:hAnsi="Calibri"/>
        <w:b/>
        <w:bCs/>
        <w:color w:val="7E7E7E"/>
        <w:sz w:val="22"/>
        <w:szCs w:val="22"/>
      </w:rPr>
      <w:t xml:space="preserve">  |  Project Governance Framework</w:t>
    </w:r>
  </w:p>
  <w:p>
    <w:pPr>
      <w:pBdr>
        <w:bottom w:val="single" w:color="FEC700" w:sz="12" w:space="1"/>
      </w:pBdr>
      <w:spacing w:after="0"/>
    </w:pPr>
    <w:r>
      <w:rPr>
        <w:rFonts w:ascii="Calibri" w:cs="Calibri" w:eastAsia="Calibri" w:hAnsi="Calibri"/>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Milestone Group — HubSpot CRM Implementation — Governance Framework</dc:title>
  <dc:creator>Sayer Strategy Group</dc:creator>
  <dc:description>Project governance framework for the Milestone Group HubSpot CRM Implementation engagement.</dc:description>
  <cp:lastModifiedBy>Un-named</cp:lastModifiedBy>
  <cp:revision>1</cp:revision>
  <dcterms:created xsi:type="dcterms:W3CDTF">2026-04-13T20:56:15.898Z</dcterms:created>
  <dcterms:modified xsi:type="dcterms:W3CDTF">2026-04-13T20:56:15.898Z</dcterms:modified>
</cp:coreProperties>
</file>

<file path=docProps/custom.xml><?xml version="1.0" encoding="utf-8"?>
<Properties xmlns="http://schemas.openxmlformats.org/officeDocument/2006/custom-properties" xmlns:vt="http://schemas.openxmlformats.org/officeDocument/2006/docPropsVTypes"/>
</file>