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Registro</w:t>
      </w:r>
      <w:r>
        <w:t xml:space="preserve"> </w:t>
      </w:r>
      <w:r>
        <w:t xml:space="preserve">de</w:t>
      </w:r>
      <w:r>
        <w:t xml:space="preserve"> </w:t>
      </w:r>
      <w:r>
        <w:t xml:space="preserve">Prompts</w:t>
      </w:r>
      <w:r>
        <w:t xml:space="preserve"> </w:t>
      </w:r>
      <w:r>
        <w:t xml:space="preserve">e</w:t>
      </w:r>
      <w:r>
        <w:t xml:space="preserve"> </w:t>
      </w:r>
      <w:r>
        <w:t xml:space="preserve">Outputs</w:t>
      </w:r>
    </w:p>
    <w:p>
      <w:pPr>
        <w:pStyle w:val="Subtitle"/>
      </w:pPr>
      <w:r>
        <w:t xml:space="preserve">Análise</w:t>
      </w:r>
      <w:r>
        <w:t xml:space="preserve"> </w:t>
      </w:r>
      <w:r>
        <w:t xml:space="preserve">de</w:t>
      </w:r>
      <w:r>
        <w:t xml:space="preserve"> </w:t>
      </w:r>
      <w:r>
        <w:t xml:space="preserve">negócio</w:t>
      </w:r>
      <w:r>
        <w:t xml:space="preserve"> </w:t>
      </w:r>
      <w:r>
        <w:t xml:space="preserve">da</w:t>
      </w:r>
      <w:r>
        <w:t xml:space="preserve"> </w:t>
      </w:r>
      <w:r>
        <w:t xml:space="preserve">documentação</w:t>
      </w:r>
      <w:r>
        <w:t xml:space="preserve"> </w:t>
      </w:r>
      <w:r>
        <w:t xml:space="preserve">de</w:t>
      </w:r>
      <w:r>
        <w:t xml:space="preserve"> </w:t>
      </w:r>
      <w:r>
        <w:t xml:space="preserve">atendimento,</w:t>
      </w:r>
      <w:r>
        <w:t xml:space="preserve"> </w:t>
      </w:r>
      <w:r>
        <w:t xml:space="preserve">devolução,</w:t>
      </w:r>
      <w:r>
        <w:t xml:space="preserve"> </w:t>
      </w:r>
      <w:r>
        <w:t xml:space="preserve">frete</w:t>
      </w:r>
      <w:r>
        <w:t xml:space="preserve"> </w:t>
      </w:r>
      <w:r>
        <w:t xml:space="preserve">especial</w:t>
      </w:r>
      <w:r>
        <w:t xml:space="preserve"> </w:t>
      </w:r>
      <w:r>
        <w:t xml:space="preserve">e</w:t>
      </w:r>
      <w:r>
        <w:t xml:space="preserve"> </w:t>
      </w:r>
      <w:r>
        <w:t xml:space="preserve">SLA</w:t>
      </w:r>
    </w:p>
    <w:p>
      <w:pPr>
        <w:pStyle w:val="Date"/>
      </w:pPr>
      <w:r>
        <w:t xml:space="preserve">23/09/2026</w:t>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p>
      <w:r>
        <w:br w:type="page"/>
      </w:r>
    </w:p>
    <w:bookmarkStart w:id="20" w:name="sobre-este-documento"/>
    <w:p>
      <w:pPr>
        <w:pStyle w:val="Heading1"/>
      </w:pPr>
      <w:r>
        <w:t xml:space="preserve">Sobre este documento</w:t>
      </w:r>
    </w:p>
    <w:p>
      <w:pPr>
        <w:pStyle w:val="FirstParagraph"/>
      </w:pPr>
      <w:r>
        <w:t xml:space="preserve">Este documento registra, na íntegra, os três prompts de análise recebidos nesta conversa e os respectivos outputs gerados, na ordem em que ocorreram:</w:t>
      </w:r>
    </w:p>
    <w:tbl>
      <w:tblPr>
        <w:tblStyle w:val="Table"/>
        <w:tblW w:type="pct" w:w="5000"/>
        <w:tblLook w:firstRow="1" w:lastRow="0" w:firstColumn="0" w:lastColumn="0" w:noHBand="0" w:noVBand="0" w:val="0020"/>
        <w:jc w:val="start"/>
      </w:tblPr>
      <w:tblGrid>
        <w:gridCol w:w="495"/>
        <w:gridCol w:w="2970"/>
        <w:gridCol w:w="4455"/>
      </w:tblGrid>
      <w:tr>
        <w:trPr>
          <w:tblHeader w:val="true"/>
        </w:trPr>
        <w:tc>
          <w:tcPr/>
          <w:p>
            <w:pPr>
              <w:pStyle w:val="Compact"/>
              <w:jc w:val="left"/>
            </w:pPr>
            <w:r>
              <w:t xml:space="preserve">#</w:t>
            </w:r>
          </w:p>
        </w:tc>
        <w:tc>
          <w:tcPr/>
          <w:p>
            <w:pPr>
              <w:pStyle w:val="Compact"/>
              <w:jc w:val="left"/>
            </w:pPr>
            <w:r>
              <w:t xml:space="preserve">Prompt</w:t>
            </w:r>
          </w:p>
        </w:tc>
        <w:tc>
          <w:tcPr/>
          <w:p>
            <w:pPr>
              <w:pStyle w:val="Compact"/>
              <w:jc w:val="left"/>
            </w:pPr>
            <w:r>
              <w:t xml:space="preserve">Base utilizada</w:t>
            </w:r>
          </w:p>
        </w:tc>
      </w:tr>
      <w:tr>
        <w:tc>
          <w:tcPr/>
          <w:p>
            <w:pPr>
              <w:pStyle w:val="Compact"/>
              <w:jc w:val="left"/>
            </w:pPr>
            <w:r>
              <w:t xml:space="preserve">1</w:t>
            </w:r>
          </w:p>
        </w:tc>
        <w:tc>
          <w:tcPr/>
          <w:p>
            <w:pPr>
              <w:pStyle w:val="Compact"/>
              <w:jc w:val="left"/>
            </w:pPr>
            <w:r>
              <w:t xml:space="preserve">Mapa de temas e hipóteses de gaps</w:t>
            </w:r>
          </w:p>
        </w:tc>
        <w:tc>
          <w:tcPr/>
          <w:p>
            <w:pPr>
              <w:pStyle w:val="Compact"/>
              <w:jc w:val="left"/>
            </w:pPr>
            <w:r>
              <w:t xml:space="preserve">Resumo dos quatro documentos</w:t>
            </w:r>
          </w:p>
        </w:tc>
      </w:tr>
      <w:tr>
        <w:tc>
          <w:tcPr/>
          <w:p>
            <w:pPr>
              <w:pStyle w:val="Compact"/>
              <w:jc w:val="left"/>
            </w:pPr>
            <w:r>
              <w:t xml:space="preserve">2</w:t>
            </w:r>
          </w:p>
        </w:tc>
        <w:tc>
          <w:tcPr/>
          <w:p>
            <w:pPr>
              <w:pStyle w:val="Compact"/>
              <w:jc w:val="left"/>
            </w:pPr>
            <w:r>
              <w:t xml:space="preserve">Análise do PROC-042 v1 com apoio do FAQ</w:t>
            </w:r>
          </w:p>
        </w:tc>
        <w:tc>
          <w:tcPr/>
          <w:p>
            <w:pPr>
              <w:pStyle w:val="Compact"/>
              <w:jc w:val="left"/>
            </w:pPr>
            <w:r>
              <w:t xml:space="preserve">PROC-042 v1 e FAQ</w:t>
            </w:r>
          </w:p>
        </w:tc>
      </w:tr>
      <w:tr>
        <w:tc>
          <w:tcPr/>
          <w:p>
            <w:pPr>
              <w:pStyle w:val="Compact"/>
              <w:jc w:val="left"/>
            </w:pPr>
            <w:r>
              <w:t xml:space="preserve">3</w:t>
            </w:r>
          </w:p>
        </w:tc>
        <w:tc>
          <w:tcPr/>
          <w:p>
            <w:pPr>
              <w:pStyle w:val="Compact"/>
              <w:jc w:val="left"/>
            </w:pPr>
            <w:r>
              <w:t xml:space="preserve">Cruzamento PROC-042 v1 × FAQ-Atendimento</w:t>
            </w:r>
          </w:p>
        </w:tc>
        <w:tc>
          <w:tcPr/>
          <w:p>
            <w:pPr>
              <w:pStyle w:val="Compact"/>
              <w:jc w:val="left"/>
            </w:pPr>
            <w:r>
              <w:t xml:space="preserve">Resumo, PROC-042 v1 e FAQ</w:t>
            </w:r>
          </w:p>
        </w:tc>
      </w:tr>
    </w:tbl>
    <w:p>
      <w:pPr>
        <w:pStyle w:val="BodyText"/>
      </w:pPr>
      <w:r>
        <w:t xml:space="preserve">Para contextualizar os prompts, a seção seguinte reproduz o resumo dos documentos fornecido no início da conversa. Os textos dos prompts aparecem em destaque recuado, e os outputs são reproduzidos sem alterações de conteúdo. Os pedidos de conversão dos outputs em arquivos Word não foram incluídos, pois não são prompts de análise.</w:t>
      </w:r>
    </w:p>
    <w:p>
      <w:r>
        <w:br w:type="page"/>
      </w:r>
    </w:p>
    <w:bookmarkEnd w:id="20"/>
    <w:bookmarkStart w:id="21" w:name="contexto-inicial-fornecido"/>
    <w:p>
      <w:pPr>
        <w:pStyle w:val="Heading1"/>
      </w:pPr>
      <w:r>
        <w:t xml:space="preserve">Contexto inicial fornecido</w:t>
      </w:r>
    </w:p>
    <w:p>
      <w:pPr>
        <w:pStyle w:val="BlockText"/>
      </w:pPr>
      <w:r>
        <w:t xml:space="preserve">Possuo os seguintes cenários:</w:t>
      </w:r>
    </w:p>
    <w:p>
      <w:pPr>
        <w:numPr>
          <w:ilvl w:val="0"/>
          <w:numId w:val="1001"/>
        </w:numPr>
        <w:pStyle w:val="Compact"/>
      </w:pPr>
      <w:r>
        <w:rPr>
          <w:bCs/>
          <w:b/>
        </w:rPr>
        <w:t xml:space="preserve">FAQ-atendimento.md:</w:t>
      </w:r>
      <w:r>
        <w:t xml:space="preserve"> </w:t>
      </w:r>
      <w:r>
        <w:t xml:space="preserve">Documento informal utilizado pelo time de atendimento como apoio prático. Traz orientações sobre devoluções, frete especial, seguro, tracking, cargas perigosas, SLA e descontos. O ponto mais importante é que não foi validado por Compliance ou Operações, então informações críticas devem ser confirmadas nos documentos oficiais.</w:t>
      </w:r>
    </w:p>
    <w:p>
      <w:pPr>
        <w:numPr>
          <w:ilvl w:val="0"/>
          <w:numId w:val="1001"/>
        </w:numPr>
        <w:pStyle w:val="Compact"/>
      </w:pPr>
      <w:r>
        <w:rPr>
          <w:bCs/>
          <w:b/>
        </w:rPr>
        <w:t xml:space="preserve">POL-001-politica-devolucao.md:</w:t>
      </w:r>
      <w:r>
        <w:t xml:space="preserve"> </w:t>
      </w:r>
      <w:r>
        <w:t xml:space="preserve">Define a política oficial de devolução. O prazo padrão é de 7 dias úteis após o recebimento. Cargas perigosas, cargas refrigeradas com quebra da cadeia de frio e cargas com lacre violado não seguem o processo padrão. A triagem deve ocorrer em até 4 horas úteis, a coleta reversa em até 2 dias úteis após aprovação, e o reembolso/crédito em até 5 dias úteis após o recebimento da devolução.</w:t>
      </w:r>
    </w:p>
    <w:p>
      <w:pPr>
        <w:numPr>
          <w:ilvl w:val="0"/>
          <w:numId w:val="1001"/>
        </w:numPr>
        <w:pStyle w:val="Compact"/>
      </w:pPr>
      <w:r>
        <w:rPr>
          <w:bCs/>
          <w:b/>
        </w:rPr>
        <w:t xml:space="preserve">PROC-042-frete-especial-v1.md:</w:t>
      </w:r>
      <w:r>
        <w:t xml:space="preserve"> </w:t>
      </w:r>
      <w:r>
        <w:t xml:space="preserve">Primeira versão do procedimento de frete especial para cargas acima de 500 kg. O cálculo usa valor base, multiplicador regional e fator de peso. O prazo da rota recebe +2 dias úteis. Cargas acima de 5.000 kg precisam de aprovação prévia e cargas perigosas seguem procedimento específico. O documento, porém, não informa formalmente se está vigente ou obsoleto.</w:t>
      </w:r>
    </w:p>
    <w:p>
      <w:pPr>
        <w:numPr>
          <w:ilvl w:val="0"/>
          <w:numId w:val="1001"/>
        </w:numPr>
        <w:pStyle w:val="Compact"/>
      </w:pPr>
      <w:r>
        <w:rPr>
          <w:bCs/>
          <w:b/>
        </w:rPr>
        <w:t xml:space="preserve">SLA-2024-tabela-sla-clientes.md:</w:t>
      </w:r>
      <w:r>
        <w:t xml:space="preserve"> </w:t>
      </w:r>
      <w:r>
        <w:t xml:space="preserve">Define os SLAs oficiais para clientes Gold, Silver e Standard. Para chamados gerais, o prazo de primeira resposta é de 2h, 4h e 8h úteis, respectivamente, e o de resolução é de 24h, 48h e 72h úteis. Incidentes críticos possuem prazos menores e incluem situações como carga acima de R$ 100 mil sem status por mais de 6 horas, problemas com cargas perigosas, múltiplos chamados ou risco à segurança.</w:t>
      </w:r>
    </w:p>
    <w:p>
      <w:r>
        <w:br w:type="page"/>
      </w:r>
    </w:p>
    <w:bookmarkEnd w:id="21"/>
    <w:bookmarkStart w:id="41" w:name="X71aa20ef1e92a2991817e32fa779ecb5c44301e"/>
    <w:p>
      <w:pPr>
        <w:pStyle w:val="Heading1"/>
      </w:pPr>
      <w:r>
        <w:t xml:space="preserve">Prompt 1: Mapa de temas e hipóteses de gaps</w:t>
      </w:r>
    </w:p>
    <w:bookmarkStart w:id="22" w:name="prompt"/>
    <w:p>
      <w:pPr>
        <w:pStyle w:val="Heading2"/>
      </w:pPr>
      <w:r>
        <w:t xml:space="preserve">Prompt</w:t>
      </w:r>
    </w:p>
    <w:p>
      <w:pPr>
        <w:pStyle w:val="BlockText"/>
      </w:pPr>
      <w:r>
        <w:t xml:space="preserve">Atue como Analista de Negócios sênior e analise os cenários fornecidos.</w:t>
      </w:r>
      <w:r>
        <w:t xml:space="preserve"> </w:t>
      </w:r>
      <w:r>
        <w:t xml:space="preserve">Gere um mapa dos principais temas cobertos pela documentação e identifique hipóteses de gaps, lacunas, ambiguidades ou assuntos pouco detalhados que possam impactar processo, operação, atendimento ou desenvolvimento.</w:t>
      </w:r>
      <w:r>
        <w:t xml:space="preserve"> </w:t>
      </w:r>
      <w:r>
        <w:t xml:space="preserve">Para cada tema, apresente:</w:t>
      </w:r>
    </w:p>
    <w:p>
      <w:pPr>
        <w:numPr>
          <w:ilvl w:val="0"/>
          <w:numId w:val="1002"/>
        </w:numPr>
        <w:pStyle w:val="Compact"/>
      </w:pPr>
      <w:r>
        <w:t xml:space="preserve">Tema;</w:t>
      </w:r>
    </w:p>
    <w:p>
      <w:pPr>
        <w:numPr>
          <w:ilvl w:val="0"/>
          <w:numId w:val="1002"/>
        </w:numPr>
        <w:pStyle w:val="Compact"/>
      </w:pPr>
      <w:r>
        <w:t xml:space="preserve">O que está coberto;</w:t>
      </w:r>
    </w:p>
    <w:p>
      <w:pPr>
        <w:numPr>
          <w:ilvl w:val="0"/>
          <w:numId w:val="1002"/>
        </w:numPr>
        <w:pStyle w:val="Compact"/>
      </w:pPr>
      <w:r>
        <w:t xml:space="preserve">Possíveis gaps ou dúvidas;</w:t>
      </w:r>
    </w:p>
    <w:p>
      <w:pPr>
        <w:numPr>
          <w:ilvl w:val="0"/>
          <w:numId w:val="1002"/>
        </w:numPr>
        <w:pStyle w:val="Compact"/>
      </w:pPr>
      <w:r>
        <w:t xml:space="preserve">Impacto potencial;</w:t>
      </w:r>
    </w:p>
    <w:p>
      <w:pPr>
        <w:numPr>
          <w:ilvl w:val="0"/>
          <w:numId w:val="1002"/>
        </w:numPr>
        <w:pStyle w:val="Compact"/>
      </w:pPr>
      <w:r>
        <w:t xml:space="preserve">Perguntas que precisam ser validadas com negócio, operação ou tecnologia.</w:t>
      </w:r>
    </w:p>
    <w:p>
      <w:pPr>
        <w:pStyle w:val="BlockText"/>
      </w:pPr>
      <w:r>
        <w:t xml:space="preserve">Não invente regras. Trate os gaps como hipóteses que precisam de validação.</w:t>
      </w:r>
    </w:p>
    <w:bookmarkEnd w:id="22"/>
    <w:bookmarkStart w:id="40" w:name="output"/>
    <w:p>
      <w:pPr>
        <w:pStyle w:val="Heading2"/>
      </w:pPr>
      <w:r>
        <w:t xml:space="preserve">Output</w:t>
      </w:r>
    </w:p>
    <w:bookmarkStart w:id="39" w:name="mapa-de-temas-e-hipóteses-de-gaps"/>
    <w:p>
      <w:pPr>
        <w:pStyle w:val="Heading3"/>
      </w:pPr>
      <w:r>
        <w:t xml:space="preserve">Mapa de temas e hipóteses de gaps</w:t>
      </w:r>
    </w:p>
    <w:p>
      <w:pPr>
        <w:pStyle w:val="FirstParagraph"/>
      </w:pPr>
      <w:r>
        <w:rPr>
          <w:bCs/>
          <w:b/>
        </w:rPr>
        <w:t xml:space="preserve">Premissa da análise:</w:t>
      </w:r>
      <w:r>
        <w:t xml:space="preserve"> </w:t>
      </w:r>
      <w:r>
        <w:t xml:space="preserve">trabalhei apenas com os resumos que você forneceu, não com o texto integral dos documentos. Alguns itens apontados como gap podem já estar respondidos nos arquivos completos. Por isso, todos os gaps abaixo são hipóteses a validar, não constatações.</w:t>
      </w:r>
    </w:p>
    <w:bookmarkStart w:id="23" w:name="visão-geral"/>
    <w:p>
      <w:pPr>
        <w:pStyle w:val="Heading4"/>
      </w:pPr>
      <w:r>
        <w:t xml:space="preserve">Visão geral</w:t>
      </w:r>
    </w:p>
    <w:tbl>
      <w:tblPr>
        <w:tblStyle w:val="Table"/>
        <w:tblW w:type="pct" w:w="5000"/>
        <w:tblLook w:firstRow="1" w:lastRow="0" w:firstColumn="0" w:lastColumn="0" w:noHBand="0" w:noVBand="0" w:val="0020"/>
        <w:jc w:val="start"/>
      </w:tblPr>
      <w:tblGrid>
        <w:gridCol w:w="440"/>
        <w:gridCol w:w="3520"/>
        <w:gridCol w:w="2640"/>
        <w:gridCol w:w="1320"/>
      </w:tblGrid>
      <w:tr>
        <w:trPr>
          <w:tblHeader w:val="true"/>
        </w:trPr>
        <w:tc>
          <w:tcPr/>
          <w:p>
            <w:pPr>
              <w:pStyle w:val="Compact"/>
              <w:jc w:val="left"/>
            </w:pPr>
            <w:r>
              <w:t xml:space="preserve">#</w:t>
            </w:r>
          </w:p>
        </w:tc>
        <w:tc>
          <w:tcPr/>
          <w:p>
            <w:pPr>
              <w:pStyle w:val="Compact"/>
              <w:jc w:val="left"/>
            </w:pPr>
            <w:r>
              <w:t xml:space="preserve">Tema</w:t>
            </w:r>
          </w:p>
        </w:tc>
        <w:tc>
          <w:tcPr/>
          <w:p>
            <w:pPr>
              <w:pStyle w:val="Compact"/>
              <w:jc w:val="left"/>
            </w:pPr>
            <w:r>
              <w:t xml:space="preserve">Fonte(s) oficial(is)</w:t>
            </w:r>
          </w:p>
        </w:tc>
        <w:tc>
          <w:tcPr/>
          <w:p>
            <w:pPr>
              <w:pStyle w:val="Compact"/>
              <w:jc w:val="left"/>
            </w:pPr>
            <w:r>
              <w:t xml:space="preserve">Nível de cobertura</w:t>
            </w:r>
          </w:p>
        </w:tc>
      </w:tr>
      <w:tr>
        <w:tc>
          <w:tcPr/>
          <w:p>
            <w:pPr>
              <w:pStyle w:val="Compact"/>
              <w:jc w:val="left"/>
            </w:pPr>
            <w:r>
              <w:t xml:space="preserve">1</w:t>
            </w:r>
          </w:p>
        </w:tc>
        <w:tc>
          <w:tcPr/>
          <w:p>
            <w:pPr>
              <w:pStyle w:val="Compact"/>
              <w:jc w:val="left"/>
            </w:pPr>
            <w:r>
              <w:t xml:space="preserve">Governança e hierarquia documental</w:t>
            </w:r>
          </w:p>
        </w:tc>
        <w:tc>
          <w:tcPr/>
          <w:p>
            <w:pPr>
              <w:pStyle w:val="Compact"/>
              <w:jc w:val="left"/>
            </w:pPr>
            <w:r>
              <w:t xml:space="preserve">Nenhuma específica</w:t>
            </w:r>
          </w:p>
        </w:tc>
        <w:tc>
          <w:tcPr/>
          <w:p>
            <w:pPr>
              <w:pStyle w:val="Compact"/>
              <w:jc w:val="left"/>
            </w:pPr>
            <w:r>
              <w:t xml:space="preserve">Baixo</w:t>
            </w:r>
          </w:p>
        </w:tc>
      </w:tr>
      <w:tr>
        <w:tc>
          <w:tcPr/>
          <w:p>
            <w:pPr>
              <w:pStyle w:val="Compact"/>
              <w:jc w:val="left"/>
            </w:pPr>
            <w:r>
              <w:t xml:space="preserve">2</w:t>
            </w:r>
          </w:p>
        </w:tc>
        <w:tc>
          <w:tcPr/>
          <w:p>
            <w:pPr>
              <w:pStyle w:val="Compact"/>
              <w:jc w:val="left"/>
            </w:pPr>
            <w:r>
              <w:t xml:space="preserve">Devolução: elegibilidade e prazo</w:t>
            </w:r>
          </w:p>
        </w:tc>
        <w:tc>
          <w:tcPr/>
          <w:p>
            <w:pPr>
              <w:pStyle w:val="Compact"/>
              <w:jc w:val="left"/>
            </w:pPr>
            <w:r>
              <w:t xml:space="preserve">POL-001</w:t>
            </w:r>
          </w:p>
        </w:tc>
        <w:tc>
          <w:tcPr/>
          <w:p>
            <w:pPr>
              <w:pStyle w:val="Compact"/>
              <w:jc w:val="left"/>
            </w:pPr>
            <w:r>
              <w:t xml:space="preserve">Médio</w:t>
            </w:r>
          </w:p>
        </w:tc>
      </w:tr>
      <w:tr>
        <w:tc>
          <w:tcPr/>
          <w:p>
            <w:pPr>
              <w:pStyle w:val="Compact"/>
              <w:jc w:val="left"/>
            </w:pPr>
            <w:r>
              <w:t xml:space="preserve">3</w:t>
            </w:r>
          </w:p>
        </w:tc>
        <w:tc>
          <w:tcPr/>
          <w:p>
            <w:pPr>
              <w:pStyle w:val="Compact"/>
              <w:jc w:val="left"/>
            </w:pPr>
            <w:r>
              <w:t xml:space="preserve">Devolução: SLAs operacionais e reembolso</w:t>
            </w:r>
          </w:p>
        </w:tc>
        <w:tc>
          <w:tcPr/>
          <w:p>
            <w:pPr>
              <w:pStyle w:val="Compact"/>
              <w:jc w:val="left"/>
            </w:pPr>
            <w:r>
              <w:t xml:space="preserve">POL-001</w:t>
            </w:r>
          </w:p>
        </w:tc>
        <w:tc>
          <w:tcPr/>
          <w:p>
            <w:pPr>
              <w:pStyle w:val="Compact"/>
              <w:jc w:val="left"/>
            </w:pPr>
            <w:r>
              <w:t xml:space="preserve">Médio</w:t>
            </w:r>
          </w:p>
        </w:tc>
      </w:tr>
      <w:tr>
        <w:tc>
          <w:tcPr/>
          <w:p>
            <w:pPr>
              <w:pStyle w:val="Compact"/>
              <w:jc w:val="left"/>
            </w:pPr>
            <w:r>
              <w:t xml:space="preserve">4</w:t>
            </w:r>
          </w:p>
        </w:tc>
        <w:tc>
          <w:tcPr/>
          <w:p>
            <w:pPr>
              <w:pStyle w:val="Compact"/>
              <w:jc w:val="left"/>
            </w:pPr>
            <w:r>
              <w:t xml:space="preserve">Devolução: exceções (refrigerada e lacre violado)</w:t>
            </w:r>
          </w:p>
        </w:tc>
        <w:tc>
          <w:tcPr/>
          <w:p>
            <w:pPr>
              <w:pStyle w:val="Compact"/>
              <w:jc w:val="left"/>
            </w:pPr>
            <w:r>
              <w:t xml:space="preserve">POL-001 (parcial)</w:t>
            </w:r>
          </w:p>
        </w:tc>
        <w:tc>
          <w:tcPr/>
          <w:p>
            <w:pPr>
              <w:pStyle w:val="Compact"/>
              <w:jc w:val="left"/>
            </w:pPr>
            <w:r>
              <w:t xml:space="preserve">Baixo</w:t>
            </w:r>
          </w:p>
        </w:tc>
      </w:tr>
      <w:tr>
        <w:tc>
          <w:tcPr/>
          <w:p>
            <w:pPr>
              <w:pStyle w:val="Compact"/>
              <w:jc w:val="left"/>
            </w:pPr>
            <w:r>
              <w:t xml:space="preserve">5</w:t>
            </w:r>
          </w:p>
        </w:tc>
        <w:tc>
          <w:tcPr/>
          <w:p>
            <w:pPr>
              <w:pStyle w:val="Compact"/>
              <w:jc w:val="left"/>
            </w:pPr>
            <w:r>
              <w:t xml:space="preserve">Frete especial: vigência e versionamento</w:t>
            </w:r>
          </w:p>
        </w:tc>
        <w:tc>
          <w:tcPr/>
          <w:p>
            <w:pPr>
              <w:pStyle w:val="Compact"/>
              <w:jc w:val="left"/>
            </w:pPr>
            <w:r>
              <w:t xml:space="preserve">PROC-042 v1</w:t>
            </w:r>
          </w:p>
        </w:tc>
        <w:tc>
          <w:tcPr/>
          <w:p>
            <w:pPr>
              <w:pStyle w:val="Compact"/>
              <w:jc w:val="left"/>
            </w:pPr>
            <w:r>
              <w:t xml:space="preserve">Baixo</w:t>
            </w:r>
          </w:p>
        </w:tc>
      </w:tr>
      <w:tr>
        <w:tc>
          <w:tcPr/>
          <w:p>
            <w:pPr>
              <w:pStyle w:val="Compact"/>
              <w:jc w:val="left"/>
            </w:pPr>
            <w:r>
              <w:t xml:space="preserve">6</w:t>
            </w:r>
          </w:p>
        </w:tc>
        <w:tc>
          <w:tcPr/>
          <w:p>
            <w:pPr>
              <w:pStyle w:val="Compact"/>
              <w:jc w:val="left"/>
            </w:pPr>
            <w:r>
              <w:t xml:space="preserve">Frete especial: cálculo</w:t>
            </w:r>
          </w:p>
        </w:tc>
        <w:tc>
          <w:tcPr/>
          <w:p>
            <w:pPr>
              <w:pStyle w:val="Compact"/>
              <w:jc w:val="left"/>
            </w:pPr>
            <w:r>
              <w:t xml:space="preserve">PROC-042 v1</w:t>
            </w:r>
          </w:p>
        </w:tc>
        <w:tc>
          <w:tcPr/>
          <w:p>
            <w:pPr>
              <w:pStyle w:val="Compact"/>
              <w:jc w:val="left"/>
            </w:pPr>
            <w:r>
              <w:t xml:space="preserve">Médio</w:t>
            </w:r>
          </w:p>
        </w:tc>
      </w:tr>
      <w:tr>
        <w:tc>
          <w:tcPr/>
          <w:p>
            <w:pPr>
              <w:pStyle w:val="Compact"/>
              <w:jc w:val="left"/>
            </w:pPr>
            <w:r>
              <w:t xml:space="preserve">7</w:t>
            </w:r>
          </w:p>
        </w:tc>
        <w:tc>
          <w:tcPr/>
          <w:p>
            <w:pPr>
              <w:pStyle w:val="Compact"/>
              <w:jc w:val="left"/>
            </w:pPr>
            <w:r>
              <w:t xml:space="preserve">Frete especial: prazo e aprovação prévia</w:t>
            </w:r>
          </w:p>
        </w:tc>
        <w:tc>
          <w:tcPr/>
          <w:p>
            <w:pPr>
              <w:pStyle w:val="Compact"/>
              <w:jc w:val="left"/>
            </w:pPr>
            <w:r>
              <w:t xml:space="preserve">PROC-042 v1</w:t>
            </w:r>
          </w:p>
        </w:tc>
        <w:tc>
          <w:tcPr/>
          <w:p>
            <w:pPr>
              <w:pStyle w:val="Compact"/>
              <w:jc w:val="left"/>
            </w:pPr>
            <w:r>
              <w:t xml:space="preserve">Médio</w:t>
            </w:r>
          </w:p>
        </w:tc>
      </w:tr>
      <w:tr>
        <w:tc>
          <w:tcPr/>
          <w:p>
            <w:pPr>
              <w:pStyle w:val="Compact"/>
              <w:jc w:val="left"/>
            </w:pPr>
            <w:r>
              <w:t xml:space="preserve">8</w:t>
            </w:r>
          </w:p>
        </w:tc>
        <w:tc>
          <w:tcPr/>
          <w:p>
            <w:pPr>
              <w:pStyle w:val="Compact"/>
              <w:jc w:val="left"/>
            </w:pPr>
            <w:r>
              <w:t xml:space="preserve">Descontos</w:t>
            </w:r>
          </w:p>
        </w:tc>
        <w:tc>
          <w:tcPr/>
          <w:p>
            <w:pPr>
              <w:pStyle w:val="Compact"/>
              <w:jc w:val="left"/>
            </w:pPr>
            <w:r>
              <w:t xml:space="preserve">Apenas FAQ</w:t>
            </w:r>
          </w:p>
        </w:tc>
        <w:tc>
          <w:tcPr/>
          <w:p>
            <w:pPr>
              <w:pStyle w:val="Compact"/>
              <w:jc w:val="left"/>
            </w:pPr>
            <w:r>
              <w:t xml:space="preserve">Inexistente</w:t>
            </w:r>
          </w:p>
        </w:tc>
      </w:tr>
      <w:tr>
        <w:tc>
          <w:tcPr/>
          <w:p>
            <w:pPr>
              <w:pStyle w:val="Compact"/>
              <w:jc w:val="left"/>
            </w:pPr>
            <w:r>
              <w:t xml:space="preserve">9</w:t>
            </w:r>
          </w:p>
        </w:tc>
        <w:tc>
          <w:tcPr/>
          <w:p>
            <w:pPr>
              <w:pStyle w:val="Compact"/>
              <w:jc w:val="left"/>
            </w:pPr>
            <w:r>
              <w:t xml:space="preserve">Cargas perigosas</w:t>
            </w:r>
          </w:p>
        </w:tc>
        <w:tc>
          <w:tcPr/>
          <w:p>
            <w:pPr>
              <w:pStyle w:val="Compact"/>
              <w:jc w:val="left"/>
            </w:pPr>
            <w:r>
              <w:t xml:space="preserve">POL-001, PROC-042, SLA-2024 (todas parciais)</w:t>
            </w:r>
          </w:p>
        </w:tc>
        <w:tc>
          <w:tcPr/>
          <w:p>
            <w:pPr>
              <w:pStyle w:val="Compact"/>
              <w:jc w:val="left"/>
            </w:pPr>
            <w:r>
              <w:t xml:space="preserve">Baixo</w:t>
            </w:r>
          </w:p>
        </w:tc>
      </w:tr>
      <w:tr>
        <w:tc>
          <w:tcPr/>
          <w:p>
            <w:pPr>
              <w:pStyle w:val="Compact"/>
              <w:jc w:val="left"/>
            </w:pPr>
            <w:r>
              <w:t xml:space="preserve">10</w:t>
            </w:r>
          </w:p>
        </w:tc>
        <w:tc>
          <w:tcPr/>
          <w:p>
            <w:pPr>
              <w:pStyle w:val="Compact"/>
              <w:jc w:val="left"/>
            </w:pPr>
            <w:r>
              <w:t xml:space="preserve">SLA de atendimento por segmento</w:t>
            </w:r>
          </w:p>
        </w:tc>
        <w:tc>
          <w:tcPr/>
          <w:p>
            <w:pPr>
              <w:pStyle w:val="Compact"/>
              <w:jc w:val="left"/>
            </w:pPr>
            <w:r>
              <w:t xml:space="preserve">SLA-2024</w:t>
            </w:r>
          </w:p>
        </w:tc>
        <w:tc>
          <w:tcPr/>
          <w:p>
            <w:pPr>
              <w:pStyle w:val="Compact"/>
              <w:jc w:val="left"/>
            </w:pPr>
            <w:r>
              <w:t xml:space="preserve">Médio/Alto</w:t>
            </w:r>
          </w:p>
        </w:tc>
      </w:tr>
      <w:tr>
        <w:tc>
          <w:tcPr/>
          <w:p>
            <w:pPr>
              <w:pStyle w:val="Compact"/>
              <w:jc w:val="left"/>
            </w:pPr>
            <w:r>
              <w:t xml:space="preserve">11</w:t>
            </w:r>
          </w:p>
        </w:tc>
        <w:tc>
          <w:tcPr/>
          <w:p>
            <w:pPr>
              <w:pStyle w:val="Compact"/>
              <w:jc w:val="left"/>
            </w:pPr>
            <w:r>
              <w:t xml:space="preserve">Incidentes críticos</w:t>
            </w:r>
          </w:p>
        </w:tc>
        <w:tc>
          <w:tcPr/>
          <w:p>
            <w:pPr>
              <w:pStyle w:val="Compact"/>
              <w:jc w:val="left"/>
            </w:pPr>
            <w:r>
              <w:t xml:space="preserve">SLA-2024</w:t>
            </w:r>
          </w:p>
        </w:tc>
        <w:tc>
          <w:tcPr/>
          <w:p>
            <w:pPr>
              <w:pStyle w:val="Compact"/>
              <w:jc w:val="left"/>
            </w:pPr>
            <w:r>
              <w:t xml:space="preserve">Médio</w:t>
            </w:r>
          </w:p>
        </w:tc>
      </w:tr>
      <w:tr>
        <w:tc>
          <w:tcPr/>
          <w:p>
            <w:pPr>
              <w:pStyle w:val="Compact"/>
              <w:jc w:val="left"/>
            </w:pPr>
            <w:r>
              <w:t xml:space="preserve">12</w:t>
            </w:r>
          </w:p>
        </w:tc>
        <w:tc>
          <w:tcPr/>
          <w:p>
            <w:pPr>
              <w:pStyle w:val="Compact"/>
              <w:jc w:val="left"/>
            </w:pPr>
            <w:r>
              <w:t xml:space="preserve">Seguro</w:t>
            </w:r>
          </w:p>
        </w:tc>
        <w:tc>
          <w:tcPr/>
          <w:p>
            <w:pPr>
              <w:pStyle w:val="Compact"/>
              <w:jc w:val="left"/>
            </w:pPr>
            <w:r>
              <w:t xml:space="preserve">Apenas FAQ</w:t>
            </w:r>
          </w:p>
        </w:tc>
        <w:tc>
          <w:tcPr/>
          <w:p>
            <w:pPr>
              <w:pStyle w:val="Compact"/>
              <w:jc w:val="left"/>
            </w:pPr>
            <w:r>
              <w:t xml:space="preserve">Inexistente</w:t>
            </w:r>
          </w:p>
        </w:tc>
      </w:tr>
      <w:tr>
        <w:tc>
          <w:tcPr/>
          <w:p>
            <w:pPr>
              <w:pStyle w:val="Compact"/>
              <w:jc w:val="left"/>
            </w:pPr>
            <w:r>
              <w:t xml:space="preserve">13</w:t>
            </w:r>
          </w:p>
        </w:tc>
        <w:tc>
          <w:tcPr/>
          <w:p>
            <w:pPr>
              <w:pStyle w:val="Compact"/>
              <w:jc w:val="left"/>
            </w:pPr>
            <w:r>
              <w:t xml:space="preserve">Tracking e rastreamento</w:t>
            </w:r>
          </w:p>
        </w:tc>
        <w:tc>
          <w:tcPr/>
          <w:p>
            <w:pPr>
              <w:pStyle w:val="Compact"/>
              <w:jc w:val="left"/>
            </w:pPr>
            <w:r>
              <w:t xml:space="preserve">Apenas FAQ</w:t>
            </w:r>
          </w:p>
        </w:tc>
        <w:tc>
          <w:tcPr/>
          <w:p>
            <w:pPr>
              <w:pStyle w:val="Compact"/>
              <w:jc w:val="left"/>
            </w:pPr>
            <w:r>
              <w:t xml:space="preserve">Inexistente</w:t>
            </w:r>
          </w:p>
        </w:tc>
      </w:tr>
      <w:tr>
        <w:tc>
          <w:tcPr/>
          <w:p>
            <w:pPr>
              <w:pStyle w:val="Compact"/>
              <w:jc w:val="left"/>
            </w:pPr>
            <w:r>
              <w:t xml:space="preserve">14</w:t>
            </w:r>
          </w:p>
        </w:tc>
        <w:tc>
          <w:tcPr/>
          <w:p>
            <w:pPr>
              <w:pStyle w:val="Compact"/>
              <w:jc w:val="left"/>
            </w:pPr>
            <w:r>
              <w:t xml:space="preserve">Conceitos transversais (dias úteis, segmentação)</w:t>
            </w:r>
          </w:p>
        </w:tc>
        <w:tc>
          <w:tcPr/>
          <w:p>
            <w:pPr>
              <w:pStyle w:val="Compact"/>
              <w:jc w:val="left"/>
            </w:pPr>
            <w:r>
              <w:t xml:space="preserve">Implícitos</w:t>
            </w:r>
          </w:p>
        </w:tc>
        <w:tc>
          <w:tcPr/>
          <w:p>
            <w:pPr>
              <w:pStyle w:val="Compact"/>
              <w:jc w:val="left"/>
            </w:pPr>
            <w:r>
              <w:t xml:space="preserve">Baixo</w:t>
            </w:r>
          </w:p>
        </w:tc>
      </w:tr>
    </w:tbl>
    <w:bookmarkEnd w:id="23"/>
    <w:bookmarkStart w:id="24" w:name="governança-e-hierarquia-documental"/>
    <w:p>
      <w:pPr>
        <w:pStyle w:val="Heading4"/>
      </w:pPr>
      <w:r>
        <w:t xml:space="preserve">1. Governança e hierarquia documental</w:t>
      </w:r>
    </w:p>
    <w:p>
      <w:pPr>
        <w:pStyle w:val="FirstParagraph"/>
      </w:pPr>
      <w:r>
        <w:rPr>
          <w:bCs/>
          <w:b/>
        </w:rPr>
        <w:t xml:space="preserve">O que está coberto:</w:t>
      </w:r>
      <w:r>
        <w:t xml:space="preserve"> </w:t>
      </w:r>
      <w:r>
        <w:t xml:space="preserve">o FAQ declara que não foi validado por Compliance ou Operações. O PROC-042 v1 não informa formalmente se está vigente ou obsoleto.</w:t>
      </w:r>
    </w:p>
    <w:p>
      <w:pPr>
        <w:pStyle w:val="BodyText"/>
      </w:pPr>
      <w:r>
        <w:rPr>
          <w:bCs/>
          <w:b/>
        </w:rPr>
        <w:t xml:space="preserve">Possíveis gaps ou dúvidas:</w:t>
      </w:r>
    </w:p>
    <w:p>
      <w:pPr>
        <w:numPr>
          <w:ilvl w:val="0"/>
          <w:numId w:val="1003"/>
        </w:numPr>
        <w:pStyle w:val="Compact"/>
      </w:pPr>
      <w:r>
        <w:t xml:space="preserve">Não há, aparentemente, uma regra de precedência entre documentos: política, procedimento, tabela de SLA e FAQ.</w:t>
      </w:r>
    </w:p>
    <w:p>
      <w:pPr>
        <w:numPr>
          <w:ilvl w:val="0"/>
          <w:numId w:val="1003"/>
        </w:numPr>
        <w:pStyle w:val="Compact"/>
      </w:pPr>
      <w:r>
        <w:t xml:space="preserve">Não se sabe quem é o dono de cada documento nem qual é o ciclo de revisão.</w:t>
      </w:r>
    </w:p>
    <w:p>
      <w:pPr>
        <w:numPr>
          <w:ilvl w:val="0"/>
          <w:numId w:val="1003"/>
        </w:numPr>
        <w:pStyle w:val="Compact"/>
      </w:pPr>
      <w:r>
        <w:t xml:space="preserve">Não há metadados padronizados: status, vigência, versão e aprovador.</w:t>
      </w:r>
    </w:p>
    <w:p>
      <w:pPr>
        <w:numPr>
          <w:ilvl w:val="0"/>
          <w:numId w:val="1003"/>
        </w:numPr>
        <w:pStyle w:val="Compact"/>
      </w:pPr>
      <w:r>
        <w:t xml:space="preserve">Não está claro se o FAQ contradiz algum documento oficial. Seria preciso comparar o conteúdo integral.</w:t>
      </w:r>
    </w:p>
    <w:p>
      <w:pPr>
        <w:pStyle w:val="FirstParagraph"/>
      </w:pPr>
      <w:r>
        <w:rPr>
          <w:bCs/>
          <w:b/>
        </w:rPr>
        <w:t xml:space="preserve">Impacto potencial:</w:t>
      </w:r>
      <w:r>
        <w:t xml:space="preserve"> </w:t>
      </w:r>
      <w:r>
        <w:t xml:space="preserve">o atendimento pode dar respostas diferentes para o mesmo caso. Um agente de IA ou RAG pode recuperar trechos do FAQ ou da v1 como se fossem oficiais. Em auditorias, fica difícil comprovar qual regra estava vigente em cada data.</w:t>
      </w:r>
    </w:p>
    <w:p>
      <w:pPr>
        <w:pStyle w:val="BodyText"/>
      </w:pPr>
      <w:r>
        <w:rPr>
          <w:bCs/>
          <w:b/>
        </w:rPr>
        <w:t xml:space="preserve">Perguntas para validar:</w:t>
      </w:r>
    </w:p>
    <w:p>
      <w:pPr>
        <w:numPr>
          <w:ilvl w:val="0"/>
          <w:numId w:val="1004"/>
        </w:numPr>
        <w:pStyle w:val="Compact"/>
      </w:pPr>
      <w:r>
        <w:t xml:space="preserve">Existe uma hierarquia documental formal na empresa? Se sim, onde está registrada?</w:t>
      </w:r>
    </w:p>
    <w:p>
      <w:pPr>
        <w:numPr>
          <w:ilvl w:val="0"/>
          <w:numId w:val="1004"/>
        </w:numPr>
        <w:pStyle w:val="Compact"/>
      </w:pPr>
      <w:r>
        <w:t xml:space="preserve">Quem aprova e mantém cada um desses documentos?</w:t>
      </w:r>
    </w:p>
    <w:p>
      <w:pPr>
        <w:numPr>
          <w:ilvl w:val="0"/>
          <w:numId w:val="1004"/>
        </w:numPr>
        <w:pStyle w:val="Compact"/>
      </w:pPr>
      <w:r>
        <w:t xml:space="preserve">O FAQ deve continuar existindo? Se sim, quem o valida e com que frequência?</w:t>
      </w:r>
    </w:p>
    <w:p>
      <w:pPr>
        <w:numPr>
          <w:ilvl w:val="0"/>
          <w:numId w:val="1004"/>
        </w:numPr>
        <w:pStyle w:val="Compact"/>
      </w:pPr>
      <w:r>
        <w:t xml:space="preserve">Existe repositório oficial com controle de versão e status (vigente ou obsoleto)?</w:t>
      </w:r>
    </w:p>
    <w:bookmarkEnd w:id="24"/>
    <w:bookmarkStart w:id="25" w:name="devolução-elegibilidade-e-prazo"/>
    <w:p>
      <w:pPr>
        <w:pStyle w:val="Heading4"/>
      </w:pPr>
      <w:r>
        <w:t xml:space="preserve">2. Devolução: elegibilidade e prazo</w:t>
      </w:r>
    </w:p>
    <w:p>
      <w:pPr>
        <w:pStyle w:val="FirstParagraph"/>
      </w:pPr>
      <w:r>
        <w:rPr>
          <w:bCs/>
          <w:b/>
        </w:rPr>
        <w:t xml:space="preserve">O que está coberto:</w:t>
      </w:r>
      <w:r>
        <w:t xml:space="preserve"> </w:t>
      </w:r>
      <w:r>
        <w:t xml:space="preserve">o prazo padrão é de 7 dias úteis após o recebimento. Cargas perigosas, refrigeradas com quebra da cadeia de frio e com lacre violado ficam fora do processo padrão.</w:t>
      </w:r>
    </w:p>
    <w:p>
      <w:pPr>
        <w:pStyle w:val="BodyText"/>
      </w:pPr>
      <w:r>
        <w:rPr>
          <w:bCs/>
          <w:b/>
        </w:rPr>
        <w:t xml:space="preserve">Possíveis gaps ou dúvidas:</w:t>
      </w:r>
    </w:p>
    <w:p>
      <w:pPr>
        <w:numPr>
          <w:ilvl w:val="0"/>
          <w:numId w:val="1005"/>
        </w:numPr>
        <w:pStyle w:val="Compact"/>
      </w:pPr>
      <w:r>
        <w:t xml:space="preserve">Não está definido qual evento marca o</w:t>
      </w:r>
      <w:r>
        <w:t xml:space="preserve"> </w:t>
      </w:r>
      <w:r>
        <w:t xml:space="preserve">“</w:t>
      </w:r>
      <w:r>
        <w:t xml:space="preserve">recebimento</w:t>
      </w:r>
      <w:r>
        <w:t xml:space="preserve">”</w:t>
      </w:r>
      <w:r>
        <w:t xml:space="preserve">: comprovante de entrega, confirmação no sistema ou assinatura.</w:t>
      </w:r>
    </w:p>
    <w:p>
      <w:pPr>
        <w:numPr>
          <w:ilvl w:val="0"/>
          <w:numId w:val="1005"/>
        </w:numPr>
        <w:pStyle w:val="Compact"/>
      </w:pPr>
      <w:r>
        <w:t xml:space="preserve">O prazo pode se referir à abertura da solicitação ou ao envio físico da carga.</w:t>
      </w:r>
    </w:p>
    <w:p>
      <w:pPr>
        <w:numPr>
          <w:ilvl w:val="0"/>
          <w:numId w:val="1005"/>
        </w:numPr>
        <w:pStyle w:val="Compact"/>
      </w:pPr>
      <w:r>
        <w:t xml:space="preserve">Não se sabe se há motivos elegíveis e não elegíveis (avaria, erro de pedido, desistência).</w:t>
      </w:r>
    </w:p>
    <w:p>
      <w:pPr>
        <w:numPr>
          <w:ilvl w:val="0"/>
          <w:numId w:val="1005"/>
        </w:numPr>
        <w:pStyle w:val="Compact"/>
      </w:pPr>
      <w:r>
        <w:t xml:space="preserve">Não há regra conhecida para devolução parcial.</w:t>
      </w:r>
    </w:p>
    <w:p>
      <w:pPr>
        <w:numPr>
          <w:ilvl w:val="0"/>
          <w:numId w:val="1005"/>
        </w:numPr>
        <w:pStyle w:val="Compact"/>
      </w:pPr>
      <w:r>
        <w:t xml:space="preserve">Não se sabe o que acontece com pedidos fora do prazo: recusa automática ou possibilidade de exceção.</w:t>
      </w:r>
    </w:p>
    <w:p>
      <w:pPr>
        <w:numPr>
          <w:ilvl w:val="0"/>
          <w:numId w:val="1005"/>
        </w:numPr>
        <w:pStyle w:val="Compact"/>
      </w:pPr>
      <w:r>
        <w:t xml:space="preserve">Não está claro quem arca com o custo da coleta reversa.</w:t>
      </w:r>
    </w:p>
    <w:p>
      <w:pPr>
        <w:pStyle w:val="FirstParagraph"/>
      </w:pPr>
      <w:r>
        <w:rPr>
          <w:bCs/>
          <w:b/>
        </w:rPr>
        <w:t xml:space="preserve">Impacto potencial:</w:t>
      </w:r>
      <w:r>
        <w:t xml:space="preserve"> </w:t>
      </w:r>
      <w:r>
        <w:t xml:space="preserve">divergência na contagem de prazo entre atendentes e sistema, contestações de clientes, dificuldade de automatizar a validação de elegibilidade.</w:t>
      </w:r>
    </w:p>
    <w:p>
      <w:pPr>
        <w:pStyle w:val="BodyText"/>
      </w:pPr>
      <w:r>
        <w:rPr>
          <w:bCs/>
          <w:b/>
        </w:rPr>
        <w:t xml:space="preserve">Perguntas para validar:</w:t>
      </w:r>
    </w:p>
    <w:p>
      <w:pPr>
        <w:numPr>
          <w:ilvl w:val="0"/>
          <w:numId w:val="1006"/>
        </w:numPr>
        <w:pStyle w:val="Compact"/>
      </w:pPr>
      <w:r>
        <w:t xml:space="preserve">Qual evento sistêmico marca o início da contagem dos 7 dias úteis?</w:t>
      </w:r>
    </w:p>
    <w:p>
      <w:pPr>
        <w:numPr>
          <w:ilvl w:val="0"/>
          <w:numId w:val="1006"/>
        </w:numPr>
        <w:pStyle w:val="Compact"/>
      </w:pPr>
      <w:r>
        <w:t xml:space="preserve">Existe lista de motivos de devolução aceitos?</w:t>
      </w:r>
    </w:p>
    <w:p>
      <w:pPr>
        <w:numPr>
          <w:ilvl w:val="0"/>
          <w:numId w:val="1006"/>
        </w:numPr>
        <w:pStyle w:val="Compact"/>
      </w:pPr>
      <w:r>
        <w:t xml:space="preserve">Devoluções parciais são permitidas?</w:t>
      </w:r>
    </w:p>
    <w:p>
      <w:pPr>
        <w:numPr>
          <w:ilvl w:val="0"/>
          <w:numId w:val="1006"/>
        </w:numPr>
        <w:pStyle w:val="Compact"/>
      </w:pPr>
      <w:r>
        <w:t xml:space="preserve">Existe fluxo de exceção para pedidos fora do prazo? Quem aprova?</w:t>
      </w:r>
    </w:p>
    <w:p>
      <w:pPr>
        <w:numPr>
          <w:ilvl w:val="0"/>
          <w:numId w:val="1006"/>
        </w:numPr>
        <w:pStyle w:val="Compact"/>
      </w:pPr>
      <w:r>
        <w:t xml:space="preserve">Quem paga o frete reverso? Depende do motivo?</w:t>
      </w:r>
    </w:p>
    <w:bookmarkEnd w:id="25"/>
    <w:bookmarkStart w:id="26" w:name="devolução-slas-operacionais-e-reembolso"/>
    <w:p>
      <w:pPr>
        <w:pStyle w:val="Heading4"/>
      </w:pPr>
      <w:r>
        <w:t xml:space="preserve">3. Devolução: SLAs operacionais e reembolso</w:t>
      </w:r>
    </w:p>
    <w:p>
      <w:pPr>
        <w:pStyle w:val="FirstParagraph"/>
      </w:pPr>
      <w:r>
        <w:rPr>
          <w:bCs/>
          <w:b/>
        </w:rPr>
        <w:t xml:space="preserve">O que está coberto:</w:t>
      </w:r>
      <w:r>
        <w:t xml:space="preserve"> </w:t>
      </w:r>
      <w:r>
        <w:t xml:space="preserve">triagem em até 4 horas úteis, coleta reversa em até 2 dias úteis após aprovação e reembolso ou crédito em até 5 dias úteis após o recebimento da devolução.</w:t>
      </w:r>
    </w:p>
    <w:p>
      <w:pPr>
        <w:pStyle w:val="BodyText"/>
      </w:pPr>
      <w:r>
        <w:rPr>
          <w:bCs/>
          <w:b/>
        </w:rPr>
        <w:t xml:space="preserve">Possíveis gaps ou dúvidas:</w:t>
      </w:r>
    </w:p>
    <w:p>
      <w:pPr>
        <w:numPr>
          <w:ilvl w:val="0"/>
          <w:numId w:val="1007"/>
        </w:numPr>
        <w:pStyle w:val="Compact"/>
      </w:pPr>
      <w:r>
        <w:t xml:space="preserve">Não está claro quando começa a contar a triagem: abertura do chamado ou recebimento de toda a documentação.</w:t>
      </w:r>
    </w:p>
    <w:p>
      <w:pPr>
        <w:numPr>
          <w:ilvl w:val="0"/>
          <w:numId w:val="1007"/>
        </w:numPr>
        <w:pStyle w:val="Compact"/>
      </w:pPr>
      <w:r>
        <w:t xml:space="preserve">Não há fluxo conhecido para devolução reprovada na triagem: comunicação ao cliente, recurso, prazos.</w:t>
      </w:r>
    </w:p>
    <w:p>
      <w:pPr>
        <w:numPr>
          <w:ilvl w:val="0"/>
          <w:numId w:val="1007"/>
        </w:numPr>
        <w:pStyle w:val="Compact"/>
      </w:pPr>
      <w:r>
        <w:t xml:space="preserve">Não se sabe quem decide entre reembolso e crédito, nem por qual critério.</w:t>
      </w:r>
    </w:p>
    <w:p>
      <w:pPr>
        <w:numPr>
          <w:ilvl w:val="0"/>
          <w:numId w:val="1007"/>
        </w:numPr>
        <w:pStyle w:val="Compact"/>
      </w:pPr>
      <w:r>
        <w:t xml:space="preserve">O</w:t>
      </w:r>
      <w:r>
        <w:t xml:space="preserve"> </w:t>
      </w:r>
      <w:r>
        <w:t xml:space="preserve">“</w:t>
      </w:r>
      <w:r>
        <w:t xml:space="preserve">recebimento da devolução</w:t>
      </w:r>
      <w:r>
        <w:t xml:space="preserve">”</w:t>
      </w:r>
      <w:r>
        <w:t xml:space="preserve"> </w:t>
      </w:r>
      <w:r>
        <w:t xml:space="preserve">pode significar chegada ao armazém ou conclusão da inspeção.</w:t>
      </w:r>
    </w:p>
    <w:p>
      <w:pPr>
        <w:numPr>
          <w:ilvl w:val="0"/>
          <w:numId w:val="1007"/>
        </w:numPr>
        <w:pStyle w:val="Compact"/>
      </w:pPr>
      <w:r>
        <w:t xml:space="preserve">A relação com o SLA-2024 não está explícita. Um cliente Gold tem primeira resposta em 2h, enquanto a triagem pode levar 4h. Não se sabe se os relógios são independentes.</w:t>
      </w:r>
    </w:p>
    <w:p>
      <w:pPr>
        <w:numPr>
          <w:ilvl w:val="0"/>
          <w:numId w:val="1007"/>
        </w:numPr>
        <w:pStyle w:val="Compact"/>
      </w:pPr>
      <w:r>
        <w:t xml:space="preserve">Não se sabe o que acontece se a coleta falhar (cliente ausente, endereço incorreto).</w:t>
      </w:r>
    </w:p>
    <w:p>
      <w:pPr>
        <w:pStyle w:val="FirstParagraph"/>
      </w:pPr>
      <w:r>
        <w:rPr>
          <w:bCs/>
          <w:b/>
        </w:rPr>
        <w:t xml:space="preserve">Impacto potencial:</w:t>
      </w:r>
      <w:r>
        <w:t xml:space="preserve"> </w:t>
      </w:r>
      <w:r>
        <w:t xml:space="preserve">conflito entre metas de times diferentes (atendimento e operação), reembolsos atrasados sem responsável claro, indicadores medidos de forma inconsistente.</w:t>
      </w:r>
    </w:p>
    <w:p>
      <w:pPr>
        <w:pStyle w:val="BodyText"/>
      </w:pPr>
      <w:r>
        <w:rPr>
          <w:bCs/>
          <w:b/>
        </w:rPr>
        <w:t xml:space="preserve">Perguntas para validar:</w:t>
      </w:r>
    </w:p>
    <w:p>
      <w:pPr>
        <w:numPr>
          <w:ilvl w:val="0"/>
          <w:numId w:val="1008"/>
        </w:numPr>
        <w:pStyle w:val="Compact"/>
      </w:pPr>
      <w:r>
        <w:t xml:space="preserve">Qual evento inicia o relógio de cada etapa (triagem, coleta, reembolso)?</w:t>
      </w:r>
    </w:p>
    <w:p>
      <w:pPr>
        <w:numPr>
          <w:ilvl w:val="0"/>
          <w:numId w:val="1008"/>
        </w:numPr>
        <w:pStyle w:val="Compact"/>
      </w:pPr>
      <w:r>
        <w:t xml:space="preserve">Existe fluxo formal para devolução reprovada?</w:t>
      </w:r>
    </w:p>
    <w:p>
      <w:pPr>
        <w:numPr>
          <w:ilvl w:val="0"/>
          <w:numId w:val="1008"/>
        </w:numPr>
        <w:pStyle w:val="Compact"/>
      </w:pPr>
      <w:r>
        <w:t xml:space="preserve">Reembolso ou crédito: quem escolhe e com base em quê?</w:t>
      </w:r>
    </w:p>
    <w:p>
      <w:pPr>
        <w:numPr>
          <w:ilvl w:val="0"/>
          <w:numId w:val="1008"/>
        </w:numPr>
        <w:pStyle w:val="Compact"/>
      </w:pPr>
      <w:r>
        <w:t xml:space="preserve">Os SLAs da POL-001 e do SLA-2024 são medidos em paralelo? Qual prevalece em caso de conflito?</w:t>
      </w:r>
    </w:p>
    <w:p>
      <w:pPr>
        <w:numPr>
          <w:ilvl w:val="0"/>
          <w:numId w:val="1008"/>
        </w:numPr>
        <w:pStyle w:val="Compact"/>
      </w:pPr>
      <w:r>
        <w:t xml:space="preserve">Qual é o tratamento para coleta reversa malsucedida?</w:t>
      </w:r>
    </w:p>
    <w:bookmarkEnd w:id="26"/>
    <w:bookmarkStart w:id="27" w:name="Xf847c26a2d2a9cc08ad94aa9337879b0c7550c9"/>
    <w:p>
      <w:pPr>
        <w:pStyle w:val="Heading4"/>
      </w:pPr>
      <w:r>
        <w:t xml:space="preserve">4. Devolução: exceções (refrigerada e lacre violado)</w:t>
      </w:r>
    </w:p>
    <w:p>
      <w:pPr>
        <w:pStyle w:val="FirstParagraph"/>
      </w:pPr>
      <w:r>
        <w:rPr>
          <w:bCs/>
          <w:b/>
        </w:rPr>
        <w:t xml:space="preserve">O que está coberto:</w:t>
      </w:r>
      <w:r>
        <w:t xml:space="preserve"> </w:t>
      </w:r>
      <w:r>
        <w:t xml:space="preserve">a POL-001 informa que essas cargas não seguem o processo padrão.</w:t>
      </w:r>
    </w:p>
    <w:p>
      <w:pPr>
        <w:pStyle w:val="BodyText"/>
      </w:pPr>
      <w:r>
        <w:rPr>
          <w:bCs/>
          <w:b/>
        </w:rPr>
        <w:t xml:space="preserve">Possíveis gaps ou dúvidas:</w:t>
      </w:r>
    </w:p>
    <w:p>
      <w:pPr>
        <w:numPr>
          <w:ilvl w:val="0"/>
          <w:numId w:val="1009"/>
        </w:numPr>
        <w:pStyle w:val="Compact"/>
      </w:pPr>
      <w:r>
        <w:t xml:space="preserve">Aparentemente não existe um documento que diga qual processo essas cargas seguem.</w:t>
      </w:r>
    </w:p>
    <w:p>
      <w:pPr>
        <w:numPr>
          <w:ilvl w:val="0"/>
          <w:numId w:val="1009"/>
        </w:numPr>
        <w:pStyle w:val="Compact"/>
      </w:pPr>
      <w:r>
        <w:t xml:space="preserve">Não está definido como a quebra da cadeia de frio é comprovada (registro de temperatura, laudo, declaração do cliente).</w:t>
      </w:r>
    </w:p>
    <w:p>
      <w:pPr>
        <w:numPr>
          <w:ilvl w:val="0"/>
          <w:numId w:val="1009"/>
        </w:numPr>
        <w:pStyle w:val="Compact"/>
      </w:pPr>
      <w:r>
        <w:t xml:space="preserve">Não se sabe se lacre violado indica suspeita de fraude, avaria em trânsito, ou ambos, nem quem investiga.</w:t>
      </w:r>
    </w:p>
    <w:p>
      <w:pPr>
        <w:numPr>
          <w:ilvl w:val="0"/>
          <w:numId w:val="1009"/>
        </w:numPr>
        <w:pStyle w:val="Compact"/>
      </w:pPr>
      <w:r>
        <w:t xml:space="preserve">Não se sabe se essas situações ainda geram algum direito a reembolso ou indenização.</w:t>
      </w:r>
    </w:p>
    <w:p>
      <w:pPr>
        <w:pStyle w:val="FirstParagraph"/>
      </w:pPr>
      <w:r>
        <w:rPr>
          <w:bCs/>
          <w:b/>
        </w:rPr>
        <w:t xml:space="preserve">Impacto potencial:</w:t>
      </w:r>
      <w:r>
        <w:t xml:space="preserve"> </w:t>
      </w:r>
      <w:r>
        <w:t xml:space="preserve">o atendimento sabe o que não fazer, mas não o que fazer. Casos ficam parados ou são resolvidos de forma improvisada, com risco jurídico e financeiro.</w:t>
      </w:r>
    </w:p>
    <w:p>
      <w:pPr>
        <w:pStyle w:val="BodyText"/>
      </w:pPr>
      <w:r>
        <w:rPr>
          <w:bCs/>
          <w:b/>
        </w:rPr>
        <w:t xml:space="preserve">Perguntas para validar:</w:t>
      </w:r>
    </w:p>
    <w:p>
      <w:pPr>
        <w:numPr>
          <w:ilvl w:val="0"/>
          <w:numId w:val="1010"/>
        </w:numPr>
        <w:pStyle w:val="Compact"/>
      </w:pPr>
      <w:r>
        <w:t xml:space="preserve">Existe procedimento específico para cargas refrigeradas com quebra da cadeia de frio? Onde está?</w:t>
      </w:r>
    </w:p>
    <w:p>
      <w:pPr>
        <w:numPr>
          <w:ilvl w:val="0"/>
          <w:numId w:val="1010"/>
        </w:numPr>
        <w:pStyle w:val="Compact"/>
      </w:pPr>
      <w:r>
        <w:t xml:space="preserve">Existe procedimento para lacre violado? Envolve seguro, jurídico ou segurança patrimonial?</w:t>
      </w:r>
    </w:p>
    <w:p>
      <w:pPr>
        <w:numPr>
          <w:ilvl w:val="0"/>
          <w:numId w:val="1010"/>
        </w:numPr>
        <w:pStyle w:val="Compact"/>
      </w:pPr>
      <w:r>
        <w:t xml:space="preserve">Qual evidência é exigida em cada caso?</w:t>
      </w:r>
    </w:p>
    <w:p>
      <w:pPr>
        <w:numPr>
          <w:ilvl w:val="0"/>
          <w:numId w:val="1010"/>
        </w:numPr>
        <w:pStyle w:val="Compact"/>
      </w:pPr>
      <w:r>
        <w:t xml:space="preserve">Para qual área o atendimento deve escalar esses casos?</w:t>
      </w:r>
    </w:p>
    <w:bookmarkEnd w:id="27"/>
    <w:bookmarkStart w:id="28" w:name="frete-especial-vigência-e-versionamento"/>
    <w:p>
      <w:pPr>
        <w:pStyle w:val="Heading4"/>
      </w:pPr>
      <w:r>
        <w:t xml:space="preserve">5. Frete especial: vigência e versionamento</w:t>
      </w:r>
    </w:p>
    <w:p>
      <w:pPr>
        <w:pStyle w:val="FirstParagraph"/>
      </w:pPr>
      <w:r>
        <w:rPr>
          <w:bCs/>
          <w:b/>
        </w:rPr>
        <w:t xml:space="preserve">O que está coberto:</w:t>
      </w:r>
      <w:r>
        <w:t xml:space="preserve"> </w:t>
      </w:r>
      <w:r>
        <w:t xml:space="preserve">o PROC-042 v1 não informa formalmente se está vigente ou obsoleto.</w:t>
      </w:r>
    </w:p>
    <w:p>
      <w:pPr>
        <w:pStyle w:val="BodyText"/>
      </w:pPr>
      <w:r>
        <w:rPr>
          <w:bCs/>
          <w:b/>
        </w:rPr>
        <w:t xml:space="preserve">Possíveis gaps ou dúvidas:</w:t>
      </w:r>
    </w:p>
    <w:p>
      <w:pPr>
        <w:numPr>
          <w:ilvl w:val="0"/>
          <w:numId w:val="1011"/>
        </w:numPr>
        <w:pStyle w:val="Compact"/>
      </w:pPr>
      <w:r>
        <w:t xml:space="preserve">Não se sabe se o PROC-042 v1 é a regra vigente hoje.</w:t>
      </w:r>
    </w:p>
    <w:p>
      <w:pPr>
        <w:numPr>
          <w:ilvl w:val="0"/>
          <w:numId w:val="1011"/>
        </w:numPr>
        <w:pStyle w:val="Compact"/>
      </w:pPr>
      <w:r>
        <w:t xml:space="preserve">A numeração</w:t>
      </w:r>
      <w:r>
        <w:t xml:space="preserve"> </w:t>
      </w:r>
      <w:r>
        <w:t xml:space="preserve">“</w:t>
      </w:r>
      <w:r>
        <w:t xml:space="preserve">v1</w:t>
      </w:r>
      <w:r>
        <w:t xml:space="preserve">”</w:t>
      </w:r>
      <w:r>
        <w:t xml:space="preserve"> </w:t>
      </w:r>
      <w:r>
        <w:t xml:space="preserve">sugere que pode existir ou vir a existir outra versão, mas nenhuma outra faz parte do corpus.</w:t>
      </w:r>
    </w:p>
    <w:p>
      <w:pPr>
        <w:numPr>
          <w:ilvl w:val="0"/>
          <w:numId w:val="1011"/>
        </w:numPr>
        <w:pStyle w:val="Compact"/>
      </w:pPr>
      <w:r>
        <w:t xml:space="preserve">Não há data de início de vigência nem critério para decidir quais chamados ou contratos seguem o procedimento.</w:t>
      </w:r>
    </w:p>
    <w:p>
      <w:pPr>
        <w:numPr>
          <w:ilvl w:val="0"/>
          <w:numId w:val="1011"/>
        </w:numPr>
        <w:pStyle w:val="Compact"/>
      </w:pPr>
      <w:r>
        <w:t xml:space="preserve">Não se sabe como as futuras revisões serão controladas e comunicadas.</w:t>
      </w:r>
    </w:p>
    <w:p>
      <w:pPr>
        <w:pStyle w:val="FirstParagraph"/>
      </w:pPr>
      <w:r>
        <w:rPr>
          <w:bCs/>
          <w:b/>
        </w:rPr>
        <w:t xml:space="preserve">Impacto potencial:</w:t>
      </w:r>
      <w:r>
        <w:t xml:space="preserve"> </w:t>
      </w:r>
      <w:r>
        <w:t xml:space="preserve">sem confirmação de vigência, todo cálculo de frete especial fica sem base segura. Isso gera risco de cobrança divergente e de questionamento em auditoria. Em desenvolvimento, não há como saber se os parâmetros a implementar são os definitivos.</w:t>
      </w:r>
    </w:p>
    <w:p>
      <w:pPr>
        <w:pStyle w:val="BodyText"/>
      </w:pPr>
      <w:r>
        <w:rPr>
          <w:bCs/>
          <w:b/>
        </w:rPr>
        <w:t xml:space="preserve">Perguntas para validar:</w:t>
      </w:r>
    </w:p>
    <w:p>
      <w:pPr>
        <w:numPr>
          <w:ilvl w:val="0"/>
          <w:numId w:val="1012"/>
        </w:numPr>
        <w:pStyle w:val="Compact"/>
      </w:pPr>
      <w:r>
        <w:t xml:space="preserve">O PROC-042 v1 está vigente? Desde quando?</w:t>
      </w:r>
    </w:p>
    <w:p>
      <w:pPr>
        <w:numPr>
          <w:ilvl w:val="0"/>
          <w:numId w:val="1012"/>
        </w:numPr>
        <w:pStyle w:val="Compact"/>
      </w:pPr>
      <w:r>
        <w:t xml:space="preserve">Existe outra versão em uso ou em elaboração?</w:t>
      </w:r>
    </w:p>
    <w:p>
      <w:pPr>
        <w:numPr>
          <w:ilvl w:val="0"/>
          <w:numId w:val="1012"/>
        </w:numPr>
        <w:pStyle w:val="Compact"/>
      </w:pPr>
      <w:r>
        <w:t xml:space="preserve">A partir de qual evento (chamado, contrato ou embarque) o procedimento se aplica?</w:t>
      </w:r>
    </w:p>
    <w:p>
      <w:pPr>
        <w:numPr>
          <w:ilvl w:val="0"/>
          <w:numId w:val="1012"/>
        </w:numPr>
        <w:pStyle w:val="Compact"/>
      </w:pPr>
      <w:r>
        <w:t xml:space="preserve">Qual é o processo de revisão e comunicação de novas versões?</w:t>
      </w:r>
    </w:p>
    <w:bookmarkEnd w:id="28"/>
    <w:bookmarkStart w:id="29" w:name="frete-especial-cálculo"/>
    <w:p>
      <w:pPr>
        <w:pStyle w:val="Heading4"/>
      </w:pPr>
      <w:r>
        <w:t xml:space="preserve">6. Frete especial: cálculo</w:t>
      </w:r>
    </w:p>
    <w:p>
      <w:pPr>
        <w:pStyle w:val="FirstParagraph"/>
      </w:pPr>
      <w:r>
        <w:rPr>
          <w:bCs/>
          <w:b/>
        </w:rPr>
        <w:t xml:space="preserve">O que está coberto:</w:t>
      </w:r>
      <w:r>
        <w:t xml:space="preserve"> </w:t>
      </w:r>
      <w:r>
        <w:t xml:space="preserve">aplica-se a cargas acima de 500 kg. O cálculo usa valor base, multiplicador regional e fator de peso.</w:t>
      </w:r>
    </w:p>
    <w:p>
      <w:pPr>
        <w:pStyle w:val="BodyText"/>
      </w:pPr>
      <w:r>
        <w:rPr>
          <w:bCs/>
          <w:b/>
        </w:rPr>
        <w:t xml:space="preserve">Possíveis gaps ou dúvidas:</w:t>
      </w:r>
    </w:p>
    <w:p>
      <w:pPr>
        <w:numPr>
          <w:ilvl w:val="0"/>
          <w:numId w:val="1013"/>
        </w:numPr>
        <w:pStyle w:val="Compact"/>
      </w:pPr>
      <w:r>
        <w:t xml:space="preserve">Não se sabe se</w:t>
      </w:r>
      <w:r>
        <w:t xml:space="preserve"> </w:t>
      </w:r>
      <w:r>
        <w:t xml:space="preserve">“</w:t>
      </w:r>
      <w:r>
        <w:t xml:space="preserve">acima de 500 kg</w:t>
      </w:r>
      <w:r>
        <w:t xml:space="preserve">”</w:t>
      </w:r>
      <w:r>
        <w:t xml:space="preserve"> </w:t>
      </w:r>
      <w:r>
        <w:t xml:space="preserve">inclui exatamente 500 kg.</w:t>
      </w:r>
    </w:p>
    <w:p>
      <w:pPr>
        <w:numPr>
          <w:ilvl w:val="0"/>
          <w:numId w:val="1013"/>
        </w:numPr>
        <w:pStyle w:val="Compact"/>
      </w:pPr>
      <w:r>
        <w:t xml:space="preserve">O peso considerado pode ser o real, o cubado ou o maior dos dois.</w:t>
      </w:r>
    </w:p>
    <w:p>
      <w:pPr>
        <w:numPr>
          <w:ilvl w:val="0"/>
          <w:numId w:val="1013"/>
        </w:numPr>
        <w:pStyle w:val="Compact"/>
      </w:pPr>
      <w:r>
        <w:t xml:space="preserve">A fórmula exata (multiplicação, soma, ordem de aplicação) e a regra de arredondamento não aparecem no resumo.</w:t>
      </w:r>
    </w:p>
    <w:p>
      <w:pPr>
        <w:numPr>
          <w:ilvl w:val="0"/>
          <w:numId w:val="1013"/>
        </w:numPr>
        <w:pStyle w:val="Compact"/>
      </w:pPr>
      <w:r>
        <w:t xml:space="preserve">Não se sabe de onde vem o valor base (tabela, contrato, sistema) nem quem o atualiza.</w:t>
      </w:r>
    </w:p>
    <w:p>
      <w:pPr>
        <w:numPr>
          <w:ilvl w:val="0"/>
          <w:numId w:val="1013"/>
        </w:numPr>
        <w:pStyle w:val="Compact"/>
      </w:pPr>
      <w:r>
        <w:t xml:space="preserve">Não está claro como as regiões são definidas: por UF, CEP ou rota. Também não se sabe como tratar origem e destino em regiões diferentes.</w:t>
      </w:r>
    </w:p>
    <w:p>
      <w:pPr>
        <w:numPr>
          <w:ilvl w:val="0"/>
          <w:numId w:val="1013"/>
        </w:numPr>
        <w:pStyle w:val="Compact"/>
      </w:pPr>
      <w:r>
        <w:t xml:space="preserve">Não se sabe se há valor mínimo ou máximo de frete.</w:t>
      </w:r>
    </w:p>
    <w:p>
      <w:pPr>
        <w:pStyle w:val="FirstParagraph"/>
      </w:pPr>
      <w:r>
        <w:rPr>
          <w:bCs/>
          <w:b/>
        </w:rPr>
        <w:t xml:space="preserve">Impacto potencial:</w:t>
      </w:r>
      <w:r>
        <w:t xml:space="preserve"> </w:t>
      </w:r>
      <w:r>
        <w:t xml:space="preserve">cotações diferentes para o mesmo caso, erros de faturamento, impossibilidade de implementar o cálculo no sistema sem interpretação.</w:t>
      </w:r>
    </w:p>
    <w:p>
      <w:pPr>
        <w:pStyle w:val="BodyText"/>
      </w:pPr>
      <w:r>
        <w:rPr>
          <w:bCs/>
          <w:b/>
        </w:rPr>
        <w:t xml:space="preserve">Perguntas para validar:</w:t>
      </w:r>
    </w:p>
    <w:p>
      <w:pPr>
        <w:numPr>
          <w:ilvl w:val="0"/>
          <w:numId w:val="1014"/>
        </w:numPr>
        <w:pStyle w:val="Compact"/>
      </w:pPr>
      <w:r>
        <w:t xml:space="preserve">Qual é a fórmula oficial, com a ordem das operações e o arredondamento?</w:t>
      </w:r>
    </w:p>
    <w:p>
      <w:pPr>
        <w:numPr>
          <w:ilvl w:val="0"/>
          <w:numId w:val="1014"/>
        </w:numPr>
        <w:pStyle w:val="Compact"/>
      </w:pPr>
      <w:r>
        <w:t xml:space="preserve">O limite de 500 kg é inclusivo ou exclusivo?</w:t>
      </w:r>
    </w:p>
    <w:p>
      <w:pPr>
        <w:numPr>
          <w:ilvl w:val="0"/>
          <w:numId w:val="1014"/>
        </w:numPr>
        <w:pStyle w:val="Compact"/>
      </w:pPr>
      <w:r>
        <w:t xml:space="preserve">Qual peso é usado: real, cubado ou o maior?</w:t>
      </w:r>
    </w:p>
    <w:p>
      <w:pPr>
        <w:numPr>
          <w:ilvl w:val="0"/>
          <w:numId w:val="1014"/>
        </w:numPr>
        <w:pStyle w:val="Compact"/>
      </w:pPr>
      <w:r>
        <w:t xml:space="preserve">Onde está a tabela de valores base e quem a mantém?</w:t>
      </w:r>
    </w:p>
    <w:p>
      <w:pPr>
        <w:numPr>
          <w:ilvl w:val="0"/>
          <w:numId w:val="1014"/>
        </w:numPr>
        <w:pStyle w:val="Compact"/>
      </w:pPr>
      <w:r>
        <w:t xml:space="preserve">Como a região é determinada: pela origem, pelo destino ou pela rota?</w:t>
      </w:r>
    </w:p>
    <w:p>
      <w:pPr>
        <w:numPr>
          <w:ilvl w:val="0"/>
          <w:numId w:val="1014"/>
        </w:numPr>
        <w:pStyle w:val="Compact"/>
      </w:pPr>
      <w:r>
        <w:t xml:space="preserve">Existem valores mínimos ou tetos?</w:t>
      </w:r>
    </w:p>
    <w:bookmarkEnd w:id="29"/>
    <w:bookmarkStart w:id="30" w:name="frete-especial-prazo-e-aprovação-prévia"/>
    <w:p>
      <w:pPr>
        <w:pStyle w:val="Heading4"/>
      </w:pPr>
      <w:r>
        <w:t xml:space="preserve">7. Frete especial: prazo e aprovação prévia</w:t>
      </w:r>
    </w:p>
    <w:p>
      <w:pPr>
        <w:pStyle w:val="FirstParagraph"/>
      </w:pPr>
      <w:r>
        <w:rPr>
          <w:bCs/>
          <w:b/>
        </w:rPr>
        <w:t xml:space="preserve">O que está coberto:</w:t>
      </w:r>
      <w:r>
        <w:t xml:space="preserve"> </w:t>
      </w:r>
      <w:r>
        <w:t xml:space="preserve">o prazo da rota recebe +2 dias úteis. Cargas acima de 5.000 kg exigem aprovação prévia.</w:t>
      </w:r>
    </w:p>
    <w:p>
      <w:pPr>
        <w:pStyle w:val="BodyText"/>
      </w:pPr>
      <w:r>
        <w:rPr>
          <w:bCs/>
          <w:b/>
        </w:rPr>
        <w:t xml:space="preserve">Possíveis gaps ou dúvidas:</w:t>
      </w:r>
    </w:p>
    <w:p>
      <w:pPr>
        <w:numPr>
          <w:ilvl w:val="0"/>
          <w:numId w:val="1015"/>
        </w:numPr>
        <w:pStyle w:val="Compact"/>
      </w:pPr>
      <w:r>
        <w:t xml:space="preserve">Não se sabe quem aprova, qual o SLA da aprovação e o que acontece em caso de recusa.</w:t>
      </w:r>
    </w:p>
    <w:p>
      <w:pPr>
        <w:numPr>
          <w:ilvl w:val="0"/>
          <w:numId w:val="1015"/>
        </w:numPr>
        <w:pStyle w:val="Compact"/>
      </w:pPr>
      <w:r>
        <w:t xml:space="preserve">O prazo da aprovação pode ou não entrar no prazo total comunicado ao cliente.</w:t>
      </w:r>
    </w:p>
    <w:p>
      <w:pPr>
        <w:numPr>
          <w:ilvl w:val="0"/>
          <w:numId w:val="1015"/>
        </w:numPr>
        <w:pStyle w:val="Compact"/>
      </w:pPr>
      <w:r>
        <w:t xml:space="preserve">Não se sabe onde está definido o</w:t>
      </w:r>
      <w:r>
        <w:t xml:space="preserve"> </w:t>
      </w:r>
      <w:r>
        <w:t xml:space="preserve">“</w:t>
      </w:r>
      <w:r>
        <w:t xml:space="preserve">prazo da rota</w:t>
      </w:r>
      <w:r>
        <w:t xml:space="preserve">”</w:t>
      </w:r>
      <w:r>
        <w:t xml:space="preserve"> </w:t>
      </w:r>
      <w:r>
        <w:t xml:space="preserve">base ao qual se somam os dias adicionais.</w:t>
      </w:r>
    </w:p>
    <w:p>
      <w:pPr>
        <w:pStyle w:val="FirstParagraph"/>
      </w:pPr>
      <w:r>
        <w:rPr>
          <w:bCs/>
          <w:b/>
        </w:rPr>
        <w:t xml:space="preserve">Impacto potencial:</w:t>
      </w:r>
      <w:r>
        <w:t xml:space="preserve"> </w:t>
      </w:r>
      <w:r>
        <w:t xml:space="preserve">promessa de prazo errada ao cliente, embarques de cargas pesadas sem aprovação, gargalo operacional se o aprovador não estiver definido.</w:t>
      </w:r>
    </w:p>
    <w:p>
      <w:pPr>
        <w:pStyle w:val="BodyText"/>
      </w:pPr>
      <w:r>
        <w:rPr>
          <w:bCs/>
          <w:b/>
        </w:rPr>
        <w:t xml:space="preserve">Perguntas para validar:</w:t>
      </w:r>
    </w:p>
    <w:p>
      <w:pPr>
        <w:numPr>
          <w:ilvl w:val="0"/>
          <w:numId w:val="1016"/>
        </w:numPr>
        <w:pStyle w:val="Compact"/>
      </w:pPr>
      <w:r>
        <w:t xml:space="preserve">Quem aprova, em quanto tempo e por qual canal?</w:t>
      </w:r>
    </w:p>
    <w:p>
      <w:pPr>
        <w:numPr>
          <w:ilvl w:val="0"/>
          <w:numId w:val="1016"/>
        </w:numPr>
        <w:pStyle w:val="Compact"/>
      </w:pPr>
      <w:r>
        <w:t xml:space="preserve">O tempo de aprovação é somado ao prazo informado ao cliente?</w:t>
      </w:r>
    </w:p>
    <w:p>
      <w:pPr>
        <w:numPr>
          <w:ilvl w:val="0"/>
          <w:numId w:val="1016"/>
        </w:numPr>
        <w:pStyle w:val="Compact"/>
      </w:pPr>
      <w:r>
        <w:t xml:space="preserve">Qual é a fonte oficial do prazo base de cada rota?</w:t>
      </w:r>
    </w:p>
    <w:bookmarkEnd w:id="30"/>
    <w:bookmarkStart w:id="31" w:name="descontos"/>
    <w:p>
      <w:pPr>
        <w:pStyle w:val="Heading4"/>
      </w:pPr>
      <w:r>
        <w:t xml:space="preserve">8. Descontos</w:t>
      </w:r>
    </w:p>
    <w:p>
      <w:pPr>
        <w:pStyle w:val="FirstParagraph"/>
      </w:pPr>
      <w:r>
        <w:rPr>
          <w:bCs/>
          <w:b/>
        </w:rPr>
        <w:t xml:space="preserve">O que está coberto:</w:t>
      </w:r>
      <w:r>
        <w:t xml:space="preserve"> </w:t>
      </w:r>
      <w:r>
        <w:t xml:space="preserve">apenas o FAQ, sem validação. Pelo resumo, nenhum documento oficial trata de descontos.</w:t>
      </w:r>
    </w:p>
    <w:p>
      <w:pPr>
        <w:pStyle w:val="BodyText"/>
      </w:pPr>
      <w:r>
        <w:rPr>
          <w:bCs/>
          <w:b/>
        </w:rPr>
        <w:t xml:space="preserve">Possíveis gaps ou dúvidas:</w:t>
      </w:r>
    </w:p>
    <w:p>
      <w:pPr>
        <w:numPr>
          <w:ilvl w:val="0"/>
          <w:numId w:val="1017"/>
        </w:numPr>
        <w:pStyle w:val="Compact"/>
      </w:pPr>
      <w:r>
        <w:t xml:space="preserve">Não há, aparentemente, regra oficial de desconto no corpus.</w:t>
      </w:r>
    </w:p>
    <w:p>
      <w:pPr>
        <w:numPr>
          <w:ilvl w:val="0"/>
          <w:numId w:val="1017"/>
        </w:numPr>
        <w:pStyle w:val="Compact"/>
      </w:pPr>
      <w:r>
        <w:t xml:space="preserve">Não se sabe se existem descontos por volume, por contrato ou por segmento, nem quem pode concedê-los.</w:t>
      </w:r>
    </w:p>
    <w:p>
      <w:pPr>
        <w:numPr>
          <w:ilvl w:val="0"/>
          <w:numId w:val="1017"/>
        </w:numPr>
        <w:pStyle w:val="Compact"/>
      </w:pPr>
      <w:r>
        <w:t xml:space="preserve">Não se sabe se o que o FAQ diz sobre descontos está correto.</w:t>
      </w:r>
    </w:p>
    <w:p>
      <w:pPr>
        <w:pStyle w:val="FirstParagraph"/>
      </w:pPr>
      <w:r>
        <w:rPr>
          <w:bCs/>
          <w:b/>
        </w:rPr>
        <w:t xml:space="preserve">Impacto potencial:</w:t>
      </w:r>
      <w:r>
        <w:t xml:space="preserve"> </w:t>
      </w:r>
      <w:r>
        <w:t xml:space="preserve">o atendimento pode prometer ou negar descontos sem base formal. Isso gera perda de receita, disputa comercial ou tratamento desigual entre clientes.</w:t>
      </w:r>
    </w:p>
    <w:p>
      <w:pPr>
        <w:pStyle w:val="BodyText"/>
      </w:pPr>
      <w:r>
        <w:rPr>
          <w:bCs/>
          <w:b/>
        </w:rPr>
        <w:t xml:space="preserve">Perguntas para validar:</w:t>
      </w:r>
    </w:p>
    <w:p>
      <w:pPr>
        <w:numPr>
          <w:ilvl w:val="0"/>
          <w:numId w:val="1018"/>
        </w:numPr>
        <w:pStyle w:val="Compact"/>
      </w:pPr>
      <w:r>
        <w:t xml:space="preserve">Existe política oficial de descontos? Quem é o dono?</w:t>
      </w:r>
    </w:p>
    <w:p>
      <w:pPr>
        <w:numPr>
          <w:ilvl w:val="0"/>
          <w:numId w:val="1018"/>
        </w:numPr>
        <w:pStyle w:val="Compact"/>
      </w:pPr>
      <w:r>
        <w:t xml:space="preserve">Quem tem autonomia para conceder desconto e em quais condições?</w:t>
      </w:r>
    </w:p>
    <w:p>
      <w:pPr>
        <w:numPr>
          <w:ilvl w:val="0"/>
          <w:numId w:val="1018"/>
        </w:numPr>
        <w:pStyle w:val="Compact"/>
      </w:pPr>
      <w:r>
        <w:t xml:space="preserve">O conteúdo do FAQ sobre descontos está correto?</w:t>
      </w:r>
    </w:p>
    <w:bookmarkEnd w:id="31"/>
    <w:bookmarkStart w:id="32" w:name="cargas-perigosas"/>
    <w:p>
      <w:pPr>
        <w:pStyle w:val="Heading4"/>
      </w:pPr>
      <w:r>
        <w:t xml:space="preserve">9. Cargas perigosas</w:t>
      </w:r>
    </w:p>
    <w:p>
      <w:pPr>
        <w:pStyle w:val="FirstParagraph"/>
      </w:pPr>
      <w:r>
        <w:rPr>
          <w:bCs/>
          <w:b/>
        </w:rPr>
        <w:t xml:space="preserve">O que está coberto:</w:t>
      </w:r>
      <w:r>
        <w:t xml:space="preserve"> </w:t>
      </w:r>
      <w:r>
        <w:t xml:space="preserve">o tema aparece em todos os documentos oficiais, mas sempre de forma indireta. A POL-001 as exclui do processo padrão de devolução. O PROC-042 remete a um procedimento específico. O SLA-2024 classifica problemas com essas cargas como incidente crítico.</w:t>
      </w:r>
    </w:p>
    <w:p>
      <w:pPr>
        <w:pStyle w:val="BodyText"/>
      </w:pPr>
      <w:r>
        <w:rPr>
          <w:bCs/>
          <w:b/>
        </w:rPr>
        <w:t xml:space="preserve">Possíveis gaps ou dúvidas:</w:t>
      </w:r>
    </w:p>
    <w:p>
      <w:pPr>
        <w:numPr>
          <w:ilvl w:val="0"/>
          <w:numId w:val="1019"/>
        </w:numPr>
        <w:pStyle w:val="Compact"/>
      </w:pPr>
      <w:r>
        <w:t xml:space="preserve">O procedimento específico citado pelo PROC-042 não está no corpus.</w:t>
      </w:r>
    </w:p>
    <w:p>
      <w:pPr>
        <w:numPr>
          <w:ilvl w:val="0"/>
          <w:numId w:val="1019"/>
        </w:numPr>
        <w:pStyle w:val="Compact"/>
      </w:pPr>
      <w:r>
        <w:t xml:space="preserve">Não se sabe qual critério define oficialmente uma carga como perigosa, nem quem faz essa classificação.</w:t>
      </w:r>
    </w:p>
    <w:p>
      <w:pPr>
        <w:numPr>
          <w:ilvl w:val="0"/>
          <w:numId w:val="1019"/>
        </w:numPr>
        <w:pStyle w:val="Compact"/>
      </w:pPr>
      <w:r>
        <w:t xml:space="preserve">Não se sabe como devolver uma carga perigosa, se isso for permitido.</w:t>
      </w:r>
    </w:p>
    <w:p>
      <w:pPr>
        <w:numPr>
          <w:ilvl w:val="0"/>
          <w:numId w:val="1019"/>
        </w:numPr>
        <w:pStyle w:val="Compact"/>
      </w:pPr>
      <w:r>
        <w:t xml:space="preserve">O FAQ trata do tema, mas sem validação de Compliance, justamente onde o risco regulatório é maior.</w:t>
      </w:r>
    </w:p>
    <w:p>
      <w:pPr>
        <w:pStyle w:val="FirstParagraph"/>
      </w:pPr>
      <w:r>
        <w:rPr>
          <w:bCs/>
          <w:b/>
        </w:rPr>
        <w:t xml:space="preserve">Impacto potencial:</w:t>
      </w:r>
      <w:r>
        <w:t xml:space="preserve"> </w:t>
      </w:r>
      <w:r>
        <w:t xml:space="preserve">é o tema de maior risco do corpus. Envolve segurança física, exigências regulatórias e responsabilidade legal. Uma orientação errada do atendimento pode ter consequências graves.</w:t>
      </w:r>
    </w:p>
    <w:p>
      <w:pPr>
        <w:pStyle w:val="BodyText"/>
      </w:pPr>
      <w:r>
        <w:rPr>
          <w:bCs/>
          <w:b/>
        </w:rPr>
        <w:t xml:space="preserve">Perguntas para validar:</w:t>
      </w:r>
    </w:p>
    <w:p>
      <w:pPr>
        <w:numPr>
          <w:ilvl w:val="0"/>
          <w:numId w:val="1020"/>
        </w:numPr>
        <w:pStyle w:val="Compact"/>
      </w:pPr>
      <w:r>
        <w:t xml:space="preserve">Onde está o procedimento específico de cargas perigosas? Está vigente?</w:t>
      </w:r>
    </w:p>
    <w:p>
      <w:pPr>
        <w:numPr>
          <w:ilvl w:val="0"/>
          <w:numId w:val="1020"/>
        </w:numPr>
        <w:pStyle w:val="Compact"/>
      </w:pPr>
      <w:r>
        <w:t xml:space="preserve">Qual é o critério oficial de classificação e quem o aplica?</w:t>
      </w:r>
    </w:p>
    <w:p>
      <w:pPr>
        <w:numPr>
          <w:ilvl w:val="0"/>
          <w:numId w:val="1020"/>
        </w:numPr>
        <w:pStyle w:val="Compact"/>
      </w:pPr>
      <w:r>
        <w:t xml:space="preserve">Existe processo de devolução para cargas perigosas ou elas nunca são devolvidas?</w:t>
      </w:r>
    </w:p>
    <w:p>
      <w:pPr>
        <w:numPr>
          <w:ilvl w:val="0"/>
          <w:numId w:val="1020"/>
        </w:numPr>
        <w:pStyle w:val="Compact"/>
      </w:pPr>
      <w:r>
        <w:t xml:space="preserve">O atendimento pode dar alguma orientação sobre o tema ou deve sempre escalar? Para quem?</w:t>
      </w:r>
    </w:p>
    <w:bookmarkEnd w:id="32"/>
    <w:bookmarkStart w:id="33" w:name="sla-de-atendimento-por-segmento"/>
    <w:p>
      <w:pPr>
        <w:pStyle w:val="Heading4"/>
      </w:pPr>
      <w:r>
        <w:t xml:space="preserve">10. SLA de atendimento por segmento</w:t>
      </w:r>
    </w:p>
    <w:p>
      <w:pPr>
        <w:pStyle w:val="FirstParagraph"/>
      </w:pPr>
      <w:r>
        <w:rPr>
          <w:bCs/>
          <w:b/>
        </w:rPr>
        <w:t xml:space="preserve">O que está coberto:</w:t>
      </w:r>
      <w:r>
        <w:t xml:space="preserve"> </w:t>
      </w:r>
      <w:r>
        <w:t xml:space="preserve">para chamados gerais, a primeira resposta é de 2h (Gold), 4h (Silver) e 8h (Standard) úteis, e a resolução é de 24h, 48h e 72h úteis, respectivamente.</w:t>
      </w:r>
    </w:p>
    <w:p>
      <w:pPr>
        <w:pStyle w:val="BodyText"/>
      </w:pPr>
      <w:r>
        <w:rPr>
          <w:bCs/>
          <w:b/>
        </w:rPr>
        <w:t xml:space="preserve">Possíveis gaps ou dúvidas:</w:t>
      </w:r>
    </w:p>
    <w:p>
      <w:pPr>
        <w:numPr>
          <w:ilvl w:val="0"/>
          <w:numId w:val="1021"/>
        </w:numPr>
        <w:pStyle w:val="Compact"/>
      </w:pPr>
      <w:r>
        <w:t xml:space="preserve">O documento se chama SLA-2024 e estamos em 2026. Não se sabe se continua vigente.</w:t>
      </w:r>
    </w:p>
    <w:p>
      <w:pPr>
        <w:numPr>
          <w:ilvl w:val="0"/>
          <w:numId w:val="1021"/>
        </w:numPr>
        <w:pStyle w:val="Compact"/>
      </w:pPr>
      <w:r>
        <w:t xml:space="preserve">Não se sabe como o cliente é classificado em Gold, Silver ou Standard, nem onde essa informação fica registrada.</w:t>
      </w:r>
    </w:p>
    <w:p>
      <w:pPr>
        <w:numPr>
          <w:ilvl w:val="0"/>
          <w:numId w:val="1021"/>
        </w:numPr>
        <w:pStyle w:val="Compact"/>
      </w:pPr>
      <w:r>
        <w:t xml:space="preserve">Não se sabe qual SLA aplicar a um cliente sem segmento definido.</w:t>
      </w:r>
    </w:p>
    <w:p>
      <w:pPr>
        <w:numPr>
          <w:ilvl w:val="0"/>
          <w:numId w:val="1021"/>
        </w:numPr>
        <w:pStyle w:val="Compact"/>
      </w:pPr>
      <w:r>
        <w:t xml:space="preserve">Não está definido o que conta como</w:t>
      </w:r>
      <w:r>
        <w:t xml:space="preserve"> </w:t>
      </w:r>
      <w:r>
        <w:t xml:space="preserve">“</w:t>
      </w:r>
      <w:r>
        <w:t xml:space="preserve">primeira resposta</w:t>
      </w:r>
      <w:r>
        <w:t xml:space="preserve">”</w:t>
      </w:r>
      <w:r>
        <w:t xml:space="preserve">: uma resposta automática conta?</w:t>
      </w:r>
    </w:p>
    <w:p>
      <w:pPr>
        <w:numPr>
          <w:ilvl w:val="0"/>
          <w:numId w:val="1021"/>
        </w:numPr>
        <w:pStyle w:val="Compact"/>
      </w:pPr>
      <w:r>
        <w:t xml:space="preserve">Não está definido o que conta como</w:t>
      </w:r>
      <w:r>
        <w:t xml:space="preserve"> </w:t>
      </w:r>
      <w:r>
        <w:t xml:space="preserve">“</w:t>
      </w:r>
      <w:r>
        <w:t xml:space="preserve">resolução</w:t>
      </w:r>
      <w:r>
        <w:t xml:space="preserve">”</w:t>
      </w:r>
      <w:r>
        <w:t xml:space="preserve">, nem quem confirma.</w:t>
      </w:r>
    </w:p>
    <w:p>
      <w:pPr>
        <w:numPr>
          <w:ilvl w:val="0"/>
          <w:numId w:val="1021"/>
        </w:numPr>
        <w:pStyle w:val="Compact"/>
      </w:pPr>
      <w:r>
        <w:t xml:space="preserve">Não se sabe se o relógio pausa quando o chamado aguarda retorno do cliente.</w:t>
      </w:r>
    </w:p>
    <w:p>
      <w:pPr>
        <w:numPr>
          <w:ilvl w:val="0"/>
          <w:numId w:val="1021"/>
        </w:numPr>
        <w:pStyle w:val="Compact"/>
      </w:pPr>
      <w:r>
        <w:t xml:space="preserve">Não há regra conhecida para escalonamento quando o SLA está perto de estourar.</w:t>
      </w:r>
    </w:p>
    <w:p>
      <w:pPr>
        <w:pStyle w:val="FirstParagraph"/>
      </w:pPr>
      <w:r>
        <w:rPr>
          <w:bCs/>
          <w:b/>
        </w:rPr>
        <w:t xml:space="preserve">Impacto potencial:</w:t>
      </w:r>
      <w:r>
        <w:t xml:space="preserve"> </w:t>
      </w:r>
      <w:r>
        <w:t xml:space="preserve">indicadores de SLA inflados ou subestimados, penalidades contratuais, parametrização incorreta da ferramenta de atendimento.</w:t>
      </w:r>
    </w:p>
    <w:p>
      <w:pPr>
        <w:pStyle w:val="BodyText"/>
      </w:pPr>
      <w:r>
        <w:rPr>
          <w:bCs/>
          <w:b/>
        </w:rPr>
        <w:t xml:space="preserve">Perguntas para validar:</w:t>
      </w:r>
    </w:p>
    <w:p>
      <w:pPr>
        <w:numPr>
          <w:ilvl w:val="0"/>
          <w:numId w:val="1022"/>
        </w:numPr>
        <w:pStyle w:val="Compact"/>
      </w:pPr>
      <w:r>
        <w:t xml:space="preserve">O SLA-2024 continua vigente? Existe versão mais recente?</w:t>
      </w:r>
    </w:p>
    <w:p>
      <w:pPr>
        <w:numPr>
          <w:ilvl w:val="0"/>
          <w:numId w:val="1022"/>
        </w:numPr>
        <w:pStyle w:val="Compact"/>
      </w:pPr>
      <w:r>
        <w:t xml:space="preserve">Qual é a fonte oficial da segmentação de clientes?</w:t>
      </w:r>
    </w:p>
    <w:p>
      <w:pPr>
        <w:numPr>
          <w:ilvl w:val="0"/>
          <w:numId w:val="1022"/>
        </w:numPr>
        <w:pStyle w:val="Compact"/>
      </w:pPr>
      <w:r>
        <w:t xml:space="preserve">O que é considerado primeira resposta e resolução?</w:t>
      </w:r>
    </w:p>
    <w:p>
      <w:pPr>
        <w:numPr>
          <w:ilvl w:val="0"/>
          <w:numId w:val="1022"/>
        </w:numPr>
        <w:pStyle w:val="Compact"/>
      </w:pPr>
      <w:r>
        <w:t xml:space="preserve">Existe regra de pausa do SLA?</w:t>
      </w:r>
    </w:p>
    <w:p>
      <w:pPr>
        <w:numPr>
          <w:ilvl w:val="0"/>
          <w:numId w:val="1022"/>
        </w:numPr>
        <w:pStyle w:val="Compact"/>
      </w:pPr>
      <w:r>
        <w:t xml:space="preserve">Existe fluxo de escalonamento por risco de estouro?</w:t>
      </w:r>
    </w:p>
    <w:bookmarkEnd w:id="33"/>
    <w:bookmarkStart w:id="34" w:name="incidentes-críticos"/>
    <w:p>
      <w:pPr>
        <w:pStyle w:val="Heading4"/>
      </w:pPr>
      <w:r>
        <w:t xml:space="preserve">11. Incidentes críticos</w:t>
      </w:r>
    </w:p>
    <w:p>
      <w:pPr>
        <w:pStyle w:val="FirstParagraph"/>
      </w:pPr>
      <w:r>
        <w:rPr>
          <w:bCs/>
          <w:b/>
        </w:rPr>
        <w:t xml:space="preserve">O que está coberto:</w:t>
      </w:r>
      <w:r>
        <w:t xml:space="preserve"> </w:t>
      </w:r>
      <w:r>
        <w:t xml:space="preserve">incidentes críticos têm prazos menores. Os gatilhos incluem carga acima de R$ 100 mil sem status por mais de 6 horas, problemas com cargas perigosas, múltiplos chamados e risco à segurança.</w:t>
      </w:r>
    </w:p>
    <w:p>
      <w:pPr>
        <w:pStyle w:val="BodyText"/>
      </w:pPr>
      <w:r>
        <w:rPr>
          <w:bCs/>
          <w:b/>
        </w:rPr>
        <w:t xml:space="preserve">Possíveis gaps ou dúvidas:</w:t>
      </w:r>
    </w:p>
    <w:p>
      <w:pPr>
        <w:numPr>
          <w:ilvl w:val="0"/>
          <w:numId w:val="1023"/>
        </w:numPr>
        <w:pStyle w:val="Compact"/>
      </w:pPr>
      <w:r>
        <w:t xml:space="preserve">Não se sabe se as 6 horas sem status são úteis ou corridas.</w:t>
      </w:r>
    </w:p>
    <w:p>
      <w:pPr>
        <w:numPr>
          <w:ilvl w:val="0"/>
          <w:numId w:val="1023"/>
        </w:numPr>
        <w:pStyle w:val="Compact"/>
      </w:pPr>
      <w:r>
        <w:t xml:space="preserve">“</w:t>
      </w:r>
      <w:r>
        <w:t xml:space="preserve">Sem status</w:t>
      </w:r>
      <w:r>
        <w:t xml:space="preserve">”</w:t>
      </w:r>
      <w:r>
        <w:t xml:space="preserve"> </w:t>
      </w:r>
      <w:r>
        <w:t xml:space="preserve">pode significar ausência de atualização no rastreamento ou em outro sistema.</w:t>
      </w:r>
    </w:p>
    <w:p>
      <w:pPr>
        <w:numPr>
          <w:ilvl w:val="0"/>
          <w:numId w:val="1023"/>
        </w:numPr>
        <w:pStyle w:val="Compact"/>
      </w:pPr>
      <w:r>
        <w:t xml:space="preserve">“</w:t>
      </w:r>
      <w:r>
        <w:t xml:space="preserve">Múltiplos chamados</w:t>
      </w:r>
      <w:r>
        <w:t xml:space="preserve">”</w:t>
      </w:r>
      <w:r>
        <w:t xml:space="preserve"> </w:t>
      </w:r>
      <w:r>
        <w:t xml:space="preserve">não tem quantidade, período nem escopo definidos (mesmo cliente, mesma carga, mesma rota).</w:t>
      </w:r>
    </w:p>
    <w:p>
      <w:pPr>
        <w:numPr>
          <w:ilvl w:val="0"/>
          <w:numId w:val="1023"/>
        </w:numPr>
        <w:pStyle w:val="Compact"/>
      </w:pPr>
      <w:r>
        <w:t xml:space="preserve">“</w:t>
      </w:r>
      <w:r>
        <w:t xml:space="preserve">Risco à segurança</w:t>
      </w:r>
      <w:r>
        <w:t xml:space="preserve">”</w:t>
      </w:r>
      <w:r>
        <w:t xml:space="preserve"> </w:t>
      </w:r>
      <w:r>
        <w:t xml:space="preserve">não tem definição nem responsável pela classificação.</w:t>
      </w:r>
    </w:p>
    <w:p>
      <w:pPr>
        <w:numPr>
          <w:ilvl w:val="0"/>
          <w:numId w:val="1023"/>
        </w:numPr>
        <w:pStyle w:val="Compact"/>
      </w:pPr>
      <w:r>
        <w:t xml:space="preserve">Não se sabe se a detecção é automática ou depende do atendente perceber.</w:t>
      </w:r>
    </w:p>
    <w:p>
      <w:pPr>
        <w:numPr>
          <w:ilvl w:val="0"/>
          <w:numId w:val="1023"/>
        </w:numPr>
        <w:pStyle w:val="Compact"/>
      </w:pPr>
      <w:r>
        <w:t xml:space="preserve">Não está claro quem é acionado num incidente crítico e por qual canal.</w:t>
      </w:r>
    </w:p>
    <w:p>
      <w:pPr>
        <w:pStyle w:val="FirstParagraph"/>
      </w:pPr>
      <w:r>
        <w:rPr>
          <w:bCs/>
          <w:b/>
        </w:rPr>
        <w:t xml:space="preserve">Impacto potencial:</w:t>
      </w:r>
      <w:r>
        <w:t xml:space="preserve"> </w:t>
      </w:r>
      <w:r>
        <w:t xml:space="preserve">incidentes graves tratados como chamados comuns, ou o inverso, sobrecarregando o time. Para tecnologia, os gatilhos não podem ser automatizados sem definição objetiva.</w:t>
      </w:r>
    </w:p>
    <w:p>
      <w:pPr>
        <w:pStyle w:val="BodyText"/>
      </w:pPr>
      <w:r>
        <w:rPr>
          <w:bCs/>
          <w:b/>
        </w:rPr>
        <w:t xml:space="preserve">Perguntas para validar:</w:t>
      </w:r>
    </w:p>
    <w:p>
      <w:pPr>
        <w:numPr>
          <w:ilvl w:val="0"/>
          <w:numId w:val="1024"/>
        </w:numPr>
        <w:pStyle w:val="Compact"/>
      </w:pPr>
      <w:r>
        <w:t xml:space="preserve">As 6 horas são úteis ou corridas?</w:t>
      </w:r>
    </w:p>
    <w:p>
      <w:pPr>
        <w:numPr>
          <w:ilvl w:val="0"/>
          <w:numId w:val="1024"/>
        </w:numPr>
        <w:pStyle w:val="Compact"/>
      </w:pPr>
      <w:r>
        <w:t xml:space="preserve">Qual sistema e qual evento definem</w:t>
      </w:r>
      <w:r>
        <w:t xml:space="preserve"> </w:t>
      </w:r>
      <w:r>
        <w:t xml:space="preserve">“</w:t>
      </w:r>
      <w:r>
        <w:t xml:space="preserve">sem status</w:t>
      </w:r>
      <w:r>
        <w:t xml:space="preserve">”</w:t>
      </w:r>
      <w:r>
        <w:t xml:space="preserve">?</w:t>
      </w:r>
    </w:p>
    <w:p>
      <w:pPr>
        <w:numPr>
          <w:ilvl w:val="0"/>
          <w:numId w:val="1024"/>
        </w:numPr>
        <w:pStyle w:val="Compact"/>
      </w:pPr>
      <w:r>
        <w:t xml:space="preserve">Quantos chamados, em qual período e com qual escopo configuram</w:t>
      </w:r>
      <w:r>
        <w:t xml:space="preserve"> </w:t>
      </w:r>
      <w:r>
        <w:t xml:space="preserve">“</w:t>
      </w:r>
      <w:r>
        <w:t xml:space="preserve">múltiplos chamados</w:t>
      </w:r>
      <w:r>
        <w:t xml:space="preserve">”</w:t>
      </w:r>
      <w:r>
        <w:t xml:space="preserve">?</w:t>
      </w:r>
    </w:p>
    <w:p>
      <w:pPr>
        <w:numPr>
          <w:ilvl w:val="0"/>
          <w:numId w:val="1024"/>
        </w:numPr>
        <w:pStyle w:val="Compact"/>
      </w:pPr>
      <w:r>
        <w:t xml:space="preserve">Quem classifica</w:t>
      </w:r>
      <w:r>
        <w:t xml:space="preserve"> </w:t>
      </w:r>
      <w:r>
        <w:t xml:space="preserve">“</w:t>
      </w:r>
      <w:r>
        <w:t xml:space="preserve">risco à segurança</w:t>
      </w:r>
      <w:r>
        <w:t xml:space="preserve">”</w:t>
      </w:r>
      <w:r>
        <w:t xml:space="preserve">?</w:t>
      </w:r>
    </w:p>
    <w:p>
      <w:pPr>
        <w:numPr>
          <w:ilvl w:val="0"/>
          <w:numId w:val="1024"/>
        </w:numPr>
        <w:pStyle w:val="Compact"/>
      </w:pPr>
      <w:r>
        <w:t xml:space="preserve">A identificação deve ser automática? Quem é acionado e como?</w:t>
      </w:r>
    </w:p>
    <w:bookmarkEnd w:id="34"/>
    <w:bookmarkStart w:id="35" w:name="seguro"/>
    <w:p>
      <w:pPr>
        <w:pStyle w:val="Heading4"/>
      </w:pPr>
      <w:r>
        <w:t xml:space="preserve">12. Seguro</w:t>
      </w:r>
    </w:p>
    <w:p>
      <w:pPr>
        <w:pStyle w:val="FirstParagraph"/>
      </w:pPr>
      <w:r>
        <w:rPr>
          <w:bCs/>
          <w:b/>
        </w:rPr>
        <w:t xml:space="preserve">O que está coberto:</w:t>
      </w:r>
      <w:r>
        <w:t xml:space="preserve"> </w:t>
      </w:r>
      <w:r>
        <w:t xml:space="preserve">apenas o FAQ, sem validação.</w:t>
      </w:r>
    </w:p>
    <w:p>
      <w:pPr>
        <w:pStyle w:val="BodyText"/>
      </w:pPr>
      <w:r>
        <w:rPr>
          <w:bCs/>
          <w:b/>
        </w:rPr>
        <w:t xml:space="preserve">Possíveis gaps ou dúvidas:</w:t>
      </w:r>
    </w:p>
    <w:p>
      <w:pPr>
        <w:numPr>
          <w:ilvl w:val="0"/>
          <w:numId w:val="1025"/>
        </w:numPr>
        <w:pStyle w:val="Compact"/>
      </w:pPr>
      <w:r>
        <w:t xml:space="preserve">Não há, aparentemente, nenhum documento oficial sobre seguro no corpus.</w:t>
      </w:r>
    </w:p>
    <w:p>
      <w:pPr>
        <w:numPr>
          <w:ilvl w:val="0"/>
          <w:numId w:val="1025"/>
        </w:numPr>
        <w:pStyle w:val="Compact"/>
      </w:pPr>
      <w:r>
        <w:t xml:space="preserve">Não se sabe se o seguro é obrigatório ou opcional, como é contratado, qual a cobertura e como se aciona um sinistro.</w:t>
      </w:r>
    </w:p>
    <w:p>
      <w:pPr>
        <w:numPr>
          <w:ilvl w:val="0"/>
          <w:numId w:val="1025"/>
        </w:numPr>
        <w:pStyle w:val="Compact"/>
      </w:pPr>
      <w:r>
        <w:t xml:space="preserve">Não se sabe como o seguro se relaciona com casos de lacre violado, avaria ou cargas de alto valor.</w:t>
      </w:r>
    </w:p>
    <w:p>
      <w:pPr>
        <w:pStyle w:val="FirstParagraph"/>
      </w:pPr>
      <w:r>
        <w:rPr>
          <w:bCs/>
          <w:b/>
        </w:rPr>
        <w:t xml:space="preserve">Impacto potencial:</w:t>
      </w:r>
      <w:r>
        <w:t xml:space="preserve"> </w:t>
      </w:r>
      <w:r>
        <w:t xml:space="preserve">o atendimento pode prometer coberturas que não existem, gerando risco financeiro e jurídico.</w:t>
      </w:r>
    </w:p>
    <w:p>
      <w:pPr>
        <w:pStyle w:val="BodyText"/>
      </w:pPr>
      <w:r>
        <w:rPr>
          <w:bCs/>
          <w:b/>
        </w:rPr>
        <w:t xml:space="preserve">Perguntas para validar:</w:t>
      </w:r>
    </w:p>
    <w:p>
      <w:pPr>
        <w:numPr>
          <w:ilvl w:val="0"/>
          <w:numId w:val="1026"/>
        </w:numPr>
        <w:pStyle w:val="Compact"/>
      </w:pPr>
      <w:r>
        <w:t xml:space="preserve">Existe política oficial de seguro? Quem é o dono?</w:t>
      </w:r>
    </w:p>
    <w:p>
      <w:pPr>
        <w:numPr>
          <w:ilvl w:val="0"/>
          <w:numId w:val="1026"/>
        </w:numPr>
        <w:pStyle w:val="Compact"/>
      </w:pPr>
      <w:r>
        <w:t xml:space="preserve">O conteúdo do FAQ sobre seguro está correto?</w:t>
      </w:r>
    </w:p>
    <w:p>
      <w:pPr>
        <w:numPr>
          <w:ilvl w:val="0"/>
          <w:numId w:val="1026"/>
        </w:numPr>
        <w:pStyle w:val="Compact"/>
      </w:pPr>
      <w:r>
        <w:t xml:space="preserve">Qual é o fluxo de acionamento de sinistro e qual área o conduz?</w:t>
      </w:r>
    </w:p>
    <w:bookmarkEnd w:id="35"/>
    <w:bookmarkStart w:id="36" w:name="tracking-e-rastreamento"/>
    <w:p>
      <w:pPr>
        <w:pStyle w:val="Heading4"/>
      </w:pPr>
      <w:r>
        <w:t xml:space="preserve">13. Tracking e rastreamento</w:t>
      </w:r>
    </w:p>
    <w:p>
      <w:pPr>
        <w:pStyle w:val="FirstParagraph"/>
      </w:pPr>
      <w:r>
        <w:rPr>
          <w:bCs/>
          <w:b/>
        </w:rPr>
        <w:t xml:space="preserve">O que está coberto:</w:t>
      </w:r>
      <w:r>
        <w:t xml:space="preserve"> </w:t>
      </w:r>
      <w:r>
        <w:t xml:space="preserve">apenas o FAQ, sem validação.</w:t>
      </w:r>
    </w:p>
    <w:p>
      <w:pPr>
        <w:pStyle w:val="BodyText"/>
      </w:pPr>
      <w:r>
        <w:rPr>
          <w:bCs/>
          <w:b/>
        </w:rPr>
        <w:t xml:space="preserve">Possíveis gaps ou dúvidas:</w:t>
      </w:r>
    </w:p>
    <w:p>
      <w:pPr>
        <w:numPr>
          <w:ilvl w:val="0"/>
          <w:numId w:val="1027"/>
        </w:numPr>
        <w:pStyle w:val="Compact"/>
      </w:pPr>
      <w:r>
        <w:t xml:space="preserve">Não há documento oficial sobre rastreamento, embora o SLA-2024 dependa dele (gatilho de 6 horas sem status).</w:t>
      </w:r>
    </w:p>
    <w:p>
      <w:pPr>
        <w:numPr>
          <w:ilvl w:val="0"/>
          <w:numId w:val="1027"/>
        </w:numPr>
        <w:pStyle w:val="Compact"/>
      </w:pPr>
      <w:r>
        <w:t xml:space="preserve">Não se sabe qual é a frequência esperada de atualização, quais status existem e o que cada um significa.</w:t>
      </w:r>
    </w:p>
    <w:p>
      <w:pPr>
        <w:numPr>
          <w:ilvl w:val="0"/>
          <w:numId w:val="1027"/>
        </w:numPr>
        <w:pStyle w:val="Compact"/>
      </w:pPr>
      <w:r>
        <w:t xml:space="preserve">Não se sabe o que o cliente consegue ver e o que só o time interno vê.</w:t>
      </w:r>
    </w:p>
    <w:p>
      <w:pPr>
        <w:pStyle w:val="FirstParagraph"/>
      </w:pPr>
      <w:r>
        <w:rPr>
          <w:bCs/>
          <w:b/>
        </w:rPr>
        <w:t xml:space="preserve">Impacto potencial:</w:t>
      </w:r>
      <w:r>
        <w:t xml:space="preserve"> </w:t>
      </w:r>
      <w:r>
        <w:t xml:space="preserve">sem definição de status, o gatilho de incidente crítico fica sem base objetiva. O cliente pode receber informações inconsistentes.</w:t>
      </w:r>
    </w:p>
    <w:p>
      <w:pPr>
        <w:pStyle w:val="BodyText"/>
      </w:pPr>
      <w:r>
        <w:rPr>
          <w:bCs/>
          <w:b/>
        </w:rPr>
        <w:t xml:space="preserve">Perguntas para validar:</w:t>
      </w:r>
    </w:p>
    <w:p>
      <w:pPr>
        <w:numPr>
          <w:ilvl w:val="0"/>
          <w:numId w:val="1028"/>
        </w:numPr>
        <w:pStyle w:val="Compact"/>
      </w:pPr>
      <w:r>
        <w:t xml:space="preserve">Existe documento oficial sobre tracking?</w:t>
      </w:r>
    </w:p>
    <w:p>
      <w:pPr>
        <w:numPr>
          <w:ilvl w:val="0"/>
          <w:numId w:val="1028"/>
        </w:numPr>
        <w:pStyle w:val="Compact"/>
      </w:pPr>
      <w:r>
        <w:t xml:space="preserve">Qual é a lista oficial de status e a frequência mínima de atualização?</w:t>
      </w:r>
    </w:p>
    <w:p>
      <w:pPr>
        <w:numPr>
          <w:ilvl w:val="0"/>
          <w:numId w:val="1028"/>
        </w:numPr>
        <w:pStyle w:val="Compact"/>
      </w:pPr>
      <w:r>
        <w:t xml:space="preserve">Qual sistema é a fonte da verdade do rastreamento?</w:t>
      </w:r>
    </w:p>
    <w:bookmarkEnd w:id="36"/>
    <w:bookmarkStart w:id="37" w:name="conceitos-transversais"/>
    <w:p>
      <w:pPr>
        <w:pStyle w:val="Heading4"/>
      </w:pPr>
      <w:r>
        <w:t xml:space="preserve">14. Conceitos transversais</w:t>
      </w:r>
    </w:p>
    <w:p>
      <w:pPr>
        <w:pStyle w:val="FirstParagraph"/>
      </w:pPr>
      <w:r>
        <w:rPr>
          <w:bCs/>
          <w:b/>
        </w:rPr>
        <w:t xml:space="preserve">O que está coberto:</w:t>
      </w:r>
      <w:r>
        <w:t xml:space="preserve"> </w:t>
      </w:r>
      <w:r>
        <w:t xml:space="preserve">todos os documentos usam</w:t>
      </w:r>
      <w:r>
        <w:t xml:space="preserve"> </w:t>
      </w:r>
      <w:r>
        <w:t xml:space="preserve">“</w:t>
      </w:r>
      <w:r>
        <w:t xml:space="preserve">dias úteis</w:t>
      </w:r>
      <w:r>
        <w:t xml:space="preserve">”</w:t>
      </w:r>
      <w:r>
        <w:t xml:space="preserve"> </w:t>
      </w:r>
      <w:r>
        <w:t xml:space="preserve">e</w:t>
      </w:r>
      <w:r>
        <w:t xml:space="preserve"> </w:t>
      </w:r>
      <w:r>
        <w:t xml:space="preserve">“</w:t>
      </w:r>
      <w:r>
        <w:t xml:space="preserve">horas úteis</w:t>
      </w:r>
      <w:r>
        <w:t xml:space="preserve">”</w:t>
      </w:r>
      <w:r>
        <w:t xml:space="preserve">, mas o resumo não mostra onde esses conceitos são definidos.</w:t>
      </w:r>
    </w:p>
    <w:p>
      <w:pPr>
        <w:pStyle w:val="BodyText"/>
      </w:pPr>
      <w:r>
        <w:rPr>
          <w:bCs/>
          <w:b/>
        </w:rPr>
        <w:t xml:space="preserve">Possíveis gaps ou dúvidas:</w:t>
      </w:r>
    </w:p>
    <w:p>
      <w:pPr>
        <w:numPr>
          <w:ilvl w:val="0"/>
          <w:numId w:val="1029"/>
        </w:numPr>
        <w:pStyle w:val="Compact"/>
      </w:pPr>
      <w:r>
        <w:t xml:space="preserve">Não se sabe qual é o horário de expediente considerado para horas úteis.</w:t>
      </w:r>
    </w:p>
    <w:p>
      <w:pPr>
        <w:numPr>
          <w:ilvl w:val="0"/>
          <w:numId w:val="1029"/>
        </w:numPr>
        <w:pStyle w:val="Compact"/>
      </w:pPr>
      <w:r>
        <w:t xml:space="preserve">Não está claro se feriados nacionais, estaduais e municipais são considerados, e de qual localidade (origem, destino ou base operacional).</w:t>
      </w:r>
    </w:p>
    <w:p>
      <w:pPr>
        <w:numPr>
          <w:ilvl w:val="0"/>
          <w:numId w:val="1029"/>
        </w:numPr>
        <w:pStyle w:val="Compact"/>
      </w:pPr>
      <w:r>
        <w:t xml:space="preserve">Não se sabe se há plantão ou atendimento fora do horário para incidentes críticos.</w:t>
      </w:r>
    </w:p>
    <w:p>
      <w:pPr>
        <w:numPr>
          <w:ilvl w:val="0"/>
          <w:numId w:val="1029"/>
        </w:numPr>
        <w:pStyle w:val="Compact"/>
      </w:pPr>
      <w:r>
        <w:t xml:space="preserve">Não há um glossário comum entre os documentos.</w:t>
      </w:r>
    </w:p>
    <w:p>
      <w:pPr>
        <w:pStyle w:val="FirstParagraph"/>
      </w:pPr>
      <w:r>
        <w:rPr>
          <w:bCs/>
          <w:b/>
        </w:rPr>
        <w:t xml:space="preserve">Impacto potencial:</w:t>
      </w:r>
      <w:r>
        <w:t xml:space="preserve"> </w:t>
      </w:r>
      <w:r>
        <w:t xml:space="preserve">qualquer cálculo de prazo pode variar conforme a interpretação. Para desenvolvimento, é necessário um calendário único parametrizado.</w:t>
      </w:r>
    </w:p>
    <w:p>
      <w:pPr>
        <w:pStyle w:val="BodyText"/>
      </w:pPr>
      <w:r>
        <w:rPr>
          <w:bCs/>
          <w:b/>
        </w:rPr>
        <w:t xml:space="preserve">Perguntas para validar:</w:t>
      </w:r>
    </w:p>
    <w:p>
      <w:pPr>
        <w:numPr>
          <w:ilvl w:val="0"/>
          <w:numId w:val="1030"/>
        </w:numPr>
        <w:pStyle w:val="Compact"/>
      </w:pPr>
      <w:r>
        <w:t xml:space="preserve">Qual é o horário oficial que define hora útil?</w:t>
      </w:r>
    </w:p>
    <w:p>
      <w:pPr>
        <w:numPr>
          <w:ilvl w:val="0"/>
          <w:numId w:val="1030"/>
        </w:numPr>
        <w:pStyle w:val="Compact"/>
      </w:pPr>
      <w:r>
        <w:t xml:space="preserve">Qual calendário de feriados é usado e de qual localidade?</w:t>
      </w:r>
    </w:p>
    <w:p>
      <w:pPr>
        <w:numPr>
          <w:ilvl w:val="0"/>
          <w:numId w:val="1030"/>
        </w:numPr>
        <w:pStyle w:val="Compact"/>
      </w:pPr>
      <w:r>
        <w:t xml:space="preserve">Incidentes críticos seguem horário útil ou 24x7?</w:t>
      </w:r>
    </w:p>
    <w:p>
      <w:pPr>
        <w:numPr>
          <w:ilvl w:val="0"/>
          <w:numId w:val="1030"/>
        </w:numPr>
        <w:pStyle w:val="Compact"/>
      </w:pPr>
      <w:r>
        <w:t xml:space="preserve">Existe glossário corporativo que possa ser referenciado?</w:t>
      </w:r>
    </w:p>
    <w:bookmarkEnd w:id="37"/>
    <w:bookmarkStart w:id="38" w:name="priorização-sugerida-para-validação"/>
    <w:p>
      <w:pPr>
        <w:pStyle w:val="Heading4"/>
      </w:pPr>
      <w:r>
        <w:t xml:space="preserve">Priorização sugerida para validação</w:t>
      </w:r>
    </w:p>
    <w:tbl>
      <w:tblPr>
        <w:tblStyle w:val="Table"/>
        <w:tblW w:type="pct" w:w="5000"/>
        <w:tblLook w:firstRow="1" w:lastRow="0" w:firstColumn="0" w:lastColumn="0" w:noHBand="0" w:noVBand="0" w:val="0020"/>
        <w:jc w:val="start"/>
      </w:tblPr>
      <w:tblGrid>
        <w:gridCol w:w="1277"/>
        <w:gridCol w:w="2554"/>
        <w:gridCol w:w="4087"/>
      </w:tblGrid>
      <w:tr>
        <w:trPr>
          <w:tblHeader w:val="true"/>
        </w:trPr>
        <w:tc>
          <w:tcPr/>
          <w:p>
            <w:pPr>
              <w:pStyle w:val="Compact"/>
              <w:jc w:val="left"/>
            </w:pPr>
            <w:r>
              <w:t xml:space="preserve">Prioridade</w:t>
            </w:r>
          </w:p>
        </w:tc>
        <w:tc>
          <w:tcPr/>
          <w:p>
            <w:pPr>
              <w:pStyle w:val="Compact"/>
              <w:jc w:val="left"/>
            </w:pPr>
            <w:r>
              <w:t xml:space="preserve">Tema</w:t>
            </w:r>
          </w:p>
        </w:tc>
        <w:tc>
          <w:tcPr/>
          <w:p>
            <w:pPr>
              <w:pStyle w:val="Compact"/>
              <w:jc w:val="left"/>
            </w:pPr>
            <w:r>
              <w:t xml:space="preserve">Motivo</w:t>
            </w:r>
          </w:p>
        </w:tc>
      </w:tr>
      <w:tr>
        <w:tc>
          <w:tcPr/>
          <w:p>
            <w:pPr>
              <w:pStyle w:val="Compact"/>
              <w:jc w:val="left"/>
            </w:pPr>
            <w:r>
              <w:t xml:space="preserve">Alta</w:t>
            </w:r>
          </w:p>
        </w:tc>
        <w:tc>
          <w:tcPr/>
          <w:p>
            <w:pPr>
              <w:pStyle w:val="Compact"/>
              <w:jc w:val="left"/>
            </w:pPr>
            <w:r>
              <w:t xml:space="preserve">Cargas perigosas (9)</w:t>
            </w:r>
          </w:p>
        </w:tc>
        <w:tc>
          <w:tcPr/>
          <w:p>
            <w:pPr>
              <w:pStyle w:val="Compact"/>
              <w:jc w:val="left"/>
            </w:pPr>
            <w:r>
              <w:t xml:space="preserve">Risco regulatório e de segurança, procedimento ausente no corpus</w:t>
            </w:r>
          </w:p>
        </w:tc>
      </w:tr>
      <w:tr>
        <w:tc>
          <w:tcPr/>
          <w:p>
            <w:pPr>
              <w:pStyle w:val="Compact"/>
              <w:jc w:val="left"/>
            </w:pPr>
            <w:r>
              <w:t xml:space="preserve">Alta</w:t>
            </w:r>
          </w:p>
        </w:tc>
        <w:tc>
          <w:tcPr/>
          <w:p>
            <w:pPr>
              <w:pStyle w:val="Compact"/>
              <w:jc w:val="left"/>
            </w:pPr>
            <w:r>
              <w:t xml:space="preserve">Vigência do PROC-042 (5)</w:t>
            </w:r>
          </w:p>
        </w:tc>
        <w:tc>
          <w:tcPr/>
          <w:p>
            <w:pPr>
              <w:pStyle w:val="Compact"/>
              <w:jc w:val="left"/>
            </w:pPr>
            <w:r>
              <w:t xml:space="preserve">Sem confirmação de vigência, preço e prazo do frete especial ficam sem base segura</w:t>
            </w:r>
          </w:p>
        </w:tc>
      </w:tr>
      <w:tr>
        <w:tc>
          <w:tcPr/>
          <w:p>
            <w:pPr>
              <w:pStyle w:val="Compact"/>
              <w:jc w:val="left"/>
            </w:pPr>
            <w:r>
              <w:t xml:space="preserve">Alta</w:t>
            </w:r>
          </w:p>
        </w:tc>
        <w:tc>
          <w:tcPr/>
          <w:p>
            <w:pPr>
              <w:pStyle w:val="Compact"/>
              <w:jc w:val="left"/>
            </w:pPr>
            <w:r>
              <w:t xml:space="preserve">Incidentes críticos (11)</w:t>
            </w:r>
          </w:p>
        </w:tc>
        <w:tc>
          <w:tcPr/>
          <w:p>
            <w:pPr>
              <w:pStyle w:val="Compact"/>
              <w:jc w:val="left"/>
            </w:pPr>
            <w:r>
              <w:t xml:space="preserve">Gatilhos subjetivos em situações de alto valor</w:t>
            </w:r>
          </w:p>
        </w:tc>
      </w:tr>
      <w:tr>
        <w:tc>
          <w:tcPr/>
          <w:p>
            <w:pPr>
              <w:pStyle w:val="Compact"/>
              <w:jc w:val="left"/>
            </w:pPr>
            <w:r>
              <w:t xml:space="preserve">Alta</w:t>
            </w:r>
          </w:p>
        </w:tc>
        <w:tc>
          <w:tcPr/>
          <w:p>
            <w:pPr>
              <w:pStyle w:val="Compact"/>
              <w:jc w:val="left"/>
            </w:pPr>
            <w:r>
              <w:t xml:space="preserve">Vigência do SLA-2024 (10)</w:t>
            </w:r>
          </w:p>
        </w:tc>
        <w:tc>
          <w:tcPr/>
          <w:p>
            <w:pPr>
              <w:pStyle w:val="Compact"/>
              <w:jc w:val="left"/>
            </w:pPr>
            <w:r>
              <w:t xml:space="preserve">Pode invalidar toda a parametrização de SLA</w:t>
            </w:r>
          </w:p>
        </w:tc>
      </w:tr>
      <w:tr>
        <w:tc>
          <w:tcPr/>
          <w:p>
            <w:pPr>
              <w:pStyle w:val="Compact"/>
              <w:jc w:val="left"/>
            </w:pPr>
            <w:r>
              <w:t xml:space="preserve">Média</w:t>
            </w:r>
          </w:p>
        </w:tc>
        <w:tc>
          <w:tcPr/>
          <w:p>
            <w:pPr>
              <w:pStyle w:val="Compact"/>
              <w:jc w:val="left"/>
            </w:pPr>
            <w:r>
              <w:t xml:space="preserve">Exceções de devolução (4)</w:t>
            </w:r>
          </w:p>
        </w:tc>
        <w:tc>
          <w:tcPr/>
          <w:p>
            <w:pPr>
              <w:pStyle w:val="Compact"/>
              <w:jc w:val="left"/>
            </w:pPr>
            <w:r>
              <w:t xml:space="preserve">Casos sem fluxo definido</w:t>
            </w:r>
          </w:p>
        </w:tc>
      </w:tr>
      <w:tr>
        <w:tc>
          <w:tcPr/>
          <w:p>
            <w:pPr>
              <w:pStyle w:val="Compact"/>
              <w:jc w:val="left"/>
            </w:pPr>
            <w:r>
              <w:t xml:space="preserve">Média</w:t>
            </w:r>
          </w:p>
        </w:tc>
        <w:tc>
          <w:tcPr/>
          <w:p>
            <w:pPr>
              <w:pStyle w:val="Compact"/>
              <w:jc w:val="left"/>
            </w:pPr>
            <w:r>
              <w:t xml:space="preserve">Cálculo de frete (6)</w:t>
            </w:r>
          </w:p>
        </w:tc>
        <w:tc>
          <w:tcPr/>
          <w:p>
            <w:pPr>
              <w:pStyle w:val="Compact"/>
              <w:jc w:val="left"/>
            </w:pPr>
            <w:r>
              <w:t xml:space="preserve">Impacto financeiro, necessário para automação</w:t>
            </w:r>
          </w:p>
        </w:tc>
      </w:tr>
      <w:tr>
        <w:tc>
          <w:tcPr/>
          <w:p>
            <w:pPr>
              <w:pStyle w:val="Compact"/>
              <w:jc w:val="left"/>
            </w:pPr>
            <w:r>
              <w:t xml:space="preserve">Média</w:t>
            </w:r>
          </w:p>
        </w:tc>
        <w:tc>
          <w:tcPr/>
          <w:p>
            <w:pPr>
              <w:pStyle w:val="Compact"/>
              <w:jc w:val="left"/>
            </w:pPr>
            <w:r>
              <w:t xml:space="preserve">Conceitos transversais (14)</w:t>
            </w:r>
          </w:p>
        </w:tc>
        <w:tc>
          <w:tcPr/>
          <w:p>
            <w:pPr>
              <w:pStyle w:val="Compact"/>
              <w:jc w:val="left"/>
            </w:pPr>
            <w:r>
              <w:t xml:space="preserve">Base para todos os cálculos de prazo</w:t>
            </w:r>
          </w:p>
        </w:tc>
      </w:tr>
      <w:tr>
        <w:tc>
          <w:tcPr/>
          <w:p>
            <w:pPr>
              <w:pStyle w:val="Compact"/>
              <w:jc w:val="left"/>
            </w:pPr>
            <w:r>
              <w:t xml:space="preserve">Média</w:t>
            </w:r>
          </w:p>
        </w:tc>
        <w:tc>
          <w:tcPr/>
          <w:p>
            <w:pPr>
              <w:pStyle w:val="Compact"/>
              <w:jc w:val="left"/>
            </w:pPr>
            <w:r>
              <w:t xml:space="preserve">Descontos (8), seguro (12) e tracking (13)</w:t>
            </w:r>
          </w:p>
        </w:tc>
        <w:tc>
          <w:tcPr/>
          <w:p>
            <w:pPr>
              <w:pStyle w:val="Compact"/>
              <w:jc w:val="left"/>
            </w:pPr>
            <w:r>
              <w:t xml:space="preserve">Sem fonte oficial, dependem só do FAQ</w:t>
            </w:r>
          </w:p>
        </w:tc>
      </w:tr>
      <w:tr>
        <w:tc>
          <w:tcPr/>
          <w:p>
            <w:pPr>
              <w:pStyle w:val="Compact"/>
              <w:jc w:val="left"/>
            </w:pPr>
            <w:r>
              <w:t xml:space="preserve">Baixa</w:t>
            </w:r>
          </w:p>
        </w:tc>
        <w:tc>
          <w:tcPr/>
          <w:p>
            <w:pPr>
              <w:pStyle w:val="Compact"/>
              <w:jc w:val="left"/>
            </w:pPr>
            <w:r>
              <w:t xml:space="preserve">Governança documental (1)</w:t>
            </w:r>
          </w:p>
        </w:tc>
        <w:tc>
          <w:tcPr/>
          <w:p>
            <w:pPr>
              <w:pStyle w:val="Compact"/>
              <w:jc w:val="left"/>
            </w:pPr>
            <w:r>
              <w:t xml:space="preserve">Estrutural. Resolve a causa raiz, mas não bloqueia a operação imediata</w:t>
            </w:r>
          </w:p>
        </w:tc>
      </w:tr>
    </w:tbl>
    <w:p>
      <w:pPr>
        <w:pStyle w:val="BodyText"/>
      </w:pPr>
      <w:r>
        <w:t xml:space="preserve">Se quiser, posso transformar essa análise em um documento para compartilhar e coletar respostas das áreas envolvidas.</w:t>
      </w:r>
    </w:p>
    <w:p>
      <w:r>
        <w:br w:type="page"/>
      </w:r>
    </w:p>
    <w:bookmarkEnd w:id="38"/>
    <w:bookmarkEnd w:id="39"/>
    <w:bookmarkEnd w:id="40"/>
    <w:bookmarkEnd w:id="41"/>
    <w:bookmarkStart w:id="57" w:name="X9b1e03929e04455529700940e8ebaaf241aaf80"/>
    <w:p>
      <w:pPr>
        <w:pStyle w:val="Heading1"/>
      </w:pPr>
      <w:r>
        <w:t xml:space="preserve">Prompt 2: Análise do PROC-042 v1 com apoio do FAQ</w:t>
      </w:r>
    </w:p>
    <w:bookmarkStart w:id="42" w:name="prompt-1"/>
    <w:p>
      <w:pPr>
        <w:pStyle w:val="Heading2"/>
      </w:pPr>
      <w:r>
        <w:t xml:space="preserve">Prompt</w:t>
      </w:r>
    </w:p>
    <w:p>
      <w:pPr>
        <w:pStyle w:val="BlockText"/>
      </w:pPr>
      <w:r>
        <w:rPr>
          <w:iCs/>
          <w:i/>
        </w:rPr>
        <w:t xml:space="preserve">Arquivos anexados: FAQ-atendimento.md e PROC-042-frete-especial-v1.md.</w:t>
      </w:r>
    </w:p>
    <w:p>
      <w:pPr>
        <w:pStyle w:val="BlockText"/>
      </w:pPr>
      <w:r>
        <w:t xml:space="preserve">Atue como Analista de Negócios e analise o arquivo PROC-042-frete-especial-v1.md, utilizando o FAQ-atendimento.md como apoio.</w:t>
      </w:r>
      <w:r>
        <w:t xml:space="preserve"> </w:t>
      </w:r>
      <w:r>
        <w:t xml:space="preserve">Identifique todas as inconsistências, conflitos, ambiguidades e lacunas relevantes do procedimento, considerando principalmente:</w:t>
      </w:r>
    </w:p>
    <w:p>
      <w:pPr>
        <w:numPr>
          <w:ilvl w:val="0"/>
          <w:numId w:val="1031"/>
        </w:numPr>
        <w:pStyle w:val="Compact"/>
      </w:pPr>
      <w:r>
        <w:t xml:space="preserve">regras de cálculo;</w:t>
      </w:r>
    </w:p>
    <w:p>
      <w:pPr>
        <w:numPr>
          <w:ilvl w:val="0"/>
          <w:numId w:val="1031"/>
        </w:numPr>
        <w:pStyle w:val="Compact"/>
      </w:pPr>
      <w:r>
        <w:t xml:space="preserve">multiplicadores e fatores;</w:t>
      </w:r>
    </w:p>
    <w:p>
      <w:pPr>
        <w:numPr>
          <w:ilvl w:val="0"/>
          <w:numId w:val="1031"/>
        </w:numPr>
        <w:pStyle w:val="Compact"/>
      </w:pPr>
      <w:r>
        <w:t xml:space="preserve">prazos;</w:t>
      </w:r>
    </w:p>
    <w:p>
      <w:pPr>
        <w:numPr>
          <w:ilvl w:val="0"/>
          <w:numId w:val="1031"/>
        </w:numPr>
        <w:pStyle w:val="Compact"/>
      </w:pPr>
      <w:r>
        <w:t xml:space="preserve">descontos;</w:t>
      </w:r>
    </w:p>
    <w:p>
      <w:pPr>
        <w:numPr>
          <w:ilvl w:val="0"/>
          <w:numId w:val="1031"/>
        </w:numPr>
        <w:pStyle w:val="Compact"/>
      </w:pPr>
      <w:r>
        <w:t xml:space="preserve">critérios de aplicação;</w:t>
      </w:r>
    </w:p>
    <w:p>
      <w:pPr>
        <w:numPr>
          <w:ilvl w:val="0"/>
          <w:numId w:val="1031"/>
        </w:numPr>
        <w:pStyle w:val="Compact"/>
      </w:pPr>
      <w:r>
        <w:t xml:space="preserve">exceções;</w:t>
      </w:r>
    </w:p>
    <w:p>
      <w:pPr>
        <w:numPr>
          <w:ilvl w:val="0"/>
          <w:numId w:val="1031"/>
        </w:numPr>
        <w:pStyle w:val="Compact"/>
      </w:pPr>
      <w:r>
        <w:t xml:space="preserve">vigência e versionamento;</w:t>
      </w:r>
    </w:p>
    <w:p>
      <w:pPr>
        <w:numPr>
          <w:ilvl w:val="0"/>
          <w:numId w:val="1031"/>
        </w:numPr>
        <w:pStyle w:val="Compact"/>
      </w:pPr>
      <w:r>
        <w:t xml:space="preserve">responsabilidades;</w:t>
      </w:r>
    </w:p>
    <w:p>
      <w:pPr>
        <w:numPr>
          <w:ilvl w:val="0"/>
          <w:numId w:val="1031"/>
        </w:numPr>
        <w:pStyle w:val="Compact"/>
      </w:pPr>
      <w:r>
        <w:t xml:space="preserve">ambiguidades ou lacunas.</w:t>
      </w:r>
    </w:p>
    <w:p>
      <w:pPr>
        <w:pStyle w:val="BlockText"/>
      </w:pPr>
      <w:r>
        <w:t xml:space="preserve">Para cada ponto identificado, informe:</w:t>
      </w:r>
    </w:p>
    <w:p>
      <w:pPr>
        <w:numPr>
          <w:ilvl w:val="0"/>
          <w:numId w:val="1032"/>
        </w:numPr>
        <w:pStyle w:val="Compact"/>
      </w:pPr>
      <w:r>
        <w:t xml:space="preserve">Regra no PROC-042 v1;</w:t>
      </w:r>
    </w:p>
    <w:p>
      <w:pPr>
        <w:numPr>
          <w:ilvl w:val="0"/>
          <w:numId w:val="1032"/>
        </w:numPr>
        <w:pStyle w:val="Compact"/>
      </w:pPr>
      <w:r>
        <w:t xml:space="preserve">Orientação do FAQ, quando houver;</w:t>
      </w:r>
    </w:p>
    <w:p>
      <w:pPr>
        <w:numPr>
          <w:ilvl w:val="0"/>
          <w:numId w:val="1032"/>
        </w:numPr>
        <w:pStyle w:val="Compact"/>
      </w:pPr>
      <w:r>
        <w:t xml:space="preserve">Tipo de inconsistência;</w:t>
      </w:r>
    </w:p>
    <w:p>
      <w:pPr>
        <w:numPr>
          <w:ilvl w:val="0"/>
          <w:numId w:val="1032"/>
        </w:numPr>
        <w:pStyle w:val="Compact"/>
      </w:pPr>
      <w:r>
        <w:t xml:space="preserve">Impacto para negócio, operação ou cliente;</w:t>
      </w:r>
    </w:p>
    <w:p>
      <w:pPr>
        <w:numPr>
          <w:ilvl w:val="0"/>
          <w:numId w:val="1032"/>
        </w:numPr>
        <w:pStyle w:val="Compact"/>
      </w:pPr>
      <w:r>
        <w:t xml:space="preserve">Criticidade: Baixa, Média ou Alta;</w:t>
      </w:r>
    </w:p>
    <w:p>
      <w:pPr>
        <w:numPr>
          <w:ilvl w:val="0"/>
          <w:numId w:val="1032"/>
        </w:numPr>
        <w:pStyle w:val="Compact"/>
      </w:pPr>
      <w:r>
        <w:t xml:space="preserve">Pergunta que deve ser validada com o responsável pelo processo.</w:t>
      </w:r>
    </w:p>
    <w:p>
      <w:pPr>
        <w:pStyle w:val="BlockText"/>
      </w:pPr>
      <w:r>
        <w:t xml:space="preserve">Não assuma qual regra está correta quando os documentos não deixarem isso explícito.</w:t>
      </w:r>
    </w:p>
    <w:bookmarkEnd w:id="42"/>
    <w:bookmarkStart w:id="56" w:name="output-1"/>
    <w:p>
      <w:pPr>
        <w:pStyle w:val="Heading2"/>
      </w:pPr>
      <w:r>
        <w:t xml:space="preserve">Output</w:t>
      </w:r>
    </w:p>
    <w:p>
      <w:pPr>
        <w:pStyle w:val="FirstParagraph"/>
      </w:pPr>
      <w:r>
        <w:t xml:space="preserve">A análise usa exclusivamente os dois arquivos enviados: o PROC-042 v1 como fonte formal e o FAQ-atendimento como apoio, sempre sinalizado como fonte informal e não validada por Compliance ou Operações. Quando um tema não aparece em nenhum dos dois arquivos, ele foi tratado como lacuna, sem suposições.</w:t>
      </w:r>
    </w:p>
    <w:p>
      <w:pPr>
        <w:pStyle w:val="BodyText"/>
      </w:pPr>
      <w:r>
        <w:t xml:space="preserve">Um ponto de atenção: o próprio PROC-042 v1 declara que</w:t>
      </w:r>
      <w:r>
        <w:t xml:space="preserve"> </w:t>
      </w:r>
      <w:r>
        <w:t xml:space="preserve">“</w:t>
      </w:r>
      <w:r>
        <w:t xml:space="preserve">coexiste com a versão PROC-042-v2</w:t>
      </w:r>
      <w:r>
        <w:t xml:space="preserve">”</w:t>
      </w:r>
      <w:r>
        <w:t xml:space="preserve">, e o FAQ (item 8) também fala em duas versões. Nenhuma outra versão faz parte da base analisada. Essas menções foram tratadas como informação dos próprios arquivos, não como regras verificáveis.</w:t>
      </w:r>
    </w:p>
    <w:bookmarkStart w:id="43" w:name="fórmula-de-cálculo"/>
    <w:p>
      <w:pPr>
        <w:pStyle w:val="Heading4"/>
      </w:pPr>
      <w:r>
        <w:t xml:space="preserve">1. Fórmula de cálculo</w:t>
      </w:r>
    </w:p>
    <w:p>
      <w:pPr>
        <w:numPr>
          <w:ilvl w:val="0"/>
          <w:numId w:val="1033"/>
        </w:numPr>
        <w:pStyle w:val="Compact"/>
      </w:pPr>
      <w:r>
        <w:rPr>
          <w:bCs/>
          <w:b/>
        </w:rPr>
        <w:t xml:space="preserve">Regra no PROC-042 v1:</w:t>
      </w:r>
      <w:r>
        <w:t xml:space="preserve"> </w:t>
      </w:r>
      <w:r>
        <w:t xml:space="preserve">valor do frete = valor base × multiplicador regional × fator de peso.</w:t>
      </w:r>
    </w:p>
    <w:p>
      <w:pPr>
        <w:numPr>
          <w:ilvl w:val="0"/>
          <w:numId w:val="1033"/>
        </w:numPr>
        <w:pStyle w:val="Compact"/>
      </w:pPr>
      <w:r>
        <w:rPr>
          <w:bCs/>
          <w:b/>
        </w:rPr>
        <w:t xml:space="preserve">Orientação do FAQ (item 8):</w:t>
      </w:r>
      <w:r>
        <w:t xml:space="preserve"> </w:t>
      </w:r>
      <w:r>
        <w:t xml:space="preserve">menciona apenas que</w:t>
      </w:r>
      <w:r>
        <w:t xml:space="preserve"> </w:t>
      </w:r>
      <w:r>
        <w:t xml:space="preserve">“</w:t>
      </w:r>
      <w:r>
        <w:t xml:space="preserve">acima de 500kg, aplica a tabela de multiplicadores por região</w:t>
      </w:r>
      <w:r>
        <w:t xml:space="preserve">”</w:t>
      </w:r>
      <w:r>
        <w:t xml:space="preserve">. Não cita o valor base nem o fator de peso.</w:t>
      </w:r>
    </w:p>
    <w:p>
      <w:pPr>
        <w:numPr>
          <w:ilvl w:val="0"/>
          <w:numId w:val="1033"/>
        </w:numPr>
        <w:pStyle w:val="Compact"/>
      </w:pPr>
      <w:r>
        <w:rPr>
          <w:bCs/>
          <w:b/>
        </w:rPr>
        <w:t xml:space="preserve">Tipo:</w:t>
      </w:r>
      <w:r>
        <w:t xml:space="preserve"> </w:t>
      </w:r>
      <w:r>
        <w:t xml:space="preserve">ambiguidade e lacuna. A fórmula da v1 é clara quanto aos componentes, mas não define arredondamento, valor mínimo ou teto. O FAQ descreve o cálculo de forma incompleta.</w:t>
      </w:r>
    </w:p>
    <w:p>
      <w:pPr>
        <w:numPr>
          <w:ilvl w:val="0"/>
          <w:numId w:val="1033"/>
        </w:numPr>
        <w:pStyle w:val="Compact"/>
      </w:pPr>
      <w:r>
        <w:rPr>
          <w:bCs/>
          <w:b/>
        </w:rPr>
        <w:t xml:space="preserve">Impacto:</w:t>
      </w:r>
      <w:r>
        <w:t xml:space="preserve"> </w:t>
      </w:r>
      <w:r>
        <w:t xml:space="preserve">o atendente pode cotar aplicando só o multiplicador regional. Para cargas acima de 1.000 kg, isso subestima o valor em 20% a 50%. Sem regra de arredondamento, o sistema e o cálculo manual podem gerar valores diferentes.</w:t>
      </w:r>
    </w:p>
    <w:p>
      <w:pPr>
        <w:numPr>
          <w:ilvl w:val="0"/>
          <w:numId w:val="1033"/>
        </w:numPr>
        <w:pStyle w:val="Compact"/>
      </w:pPr>
      <w:r>
        <w:rPr>
          <w:bCs/>
          <w:b/>
        </w:rPr>
        <w:t xml:space="preserve">Criticidade:</w:t>
      </w:r>
      <w:r>
        <w:t xml:space="preserve"> </w:t>
      </w:r>
      <w:r>
        <w:t xml:space="preserve">Média.</w:t>
      </w:r>
    </w:p>
    <w:p>
      <w:pPr>
        <w:numPr>
          <w:ilvl w:val="0"/>
          <w:numId w:val="1033"/>
        </w:numPr>
        <w:pStyle w:val="Compact"/>
      </w:pPr>
      <w:r>
        <w:rPr>
          <w:bCs/>
          <w:b/>
        </w:rPr>
        <w:t xml:space="preserve">Pergunta:</w:t>
      </w:r>
      <w:r>
        <w:t xml:space="preserve"> </w:t>
      </w:r>
      <w:r>
        <w:t xml:space="preserve">existe regra de arredondamento, valor mínimo ou teto para o frete especial? O atendimento calcula manualmente ou usa sistema? O FAQ deve ser corrigido para refletir a fórmula completa?</w:t>
      </w:r>
    </w:p>
    <w:bookmarkEnd w:id="43"/>
    <w:bookmarkStart w:id="44" w:name="valor-base"/>
    <w:p>
      <w:pPr>
        <w:pStyle w:val="Heading4"/>
      </w:pPr>
      <w:r>
        <w:t xml:space="preserve">2. Valor base</w:t>
      </w:r>
    </w:p>
    <w:p>
      <w:pPr>
        <w:numPr>
          <w:ilvl w:val="0"/>
          <w:numId w:val="1034"/>
        </w:numPr>
        <w:pStyle w:val="Compact"/>
      </w:pPr>
      <w:r>
        <w:rPr>
          <w:bCs/>
          <w:b/>
        </w:rPr>
        <w:t xml:space="preserve">Regra no PROC-042 v1:</w:t>
      </w:r>
      <w:r>
        <w:t xml:space="preserve"> </w:t>
      </w:r>
      <w:r>
        <w:t xml:space="preserve">o valor base é a</w:t>
      </w:r>
      <w:r>
        <w:t xml:space="preserve"> </w:t>
      </w:r>
      <w:r>
        <w:t xml:space="preserve">“</w:t>
      </w:r>
      <w:r>
        <w:t xml:space="preserve">tarifa publicada na tabela mensal de fretes</w:t>
      </w:r>
      <w:r>
        <w:t xml:space="preserve">”</w:t>
      </w:r>
      <w:r>
        <w:t xml:space="preserve">.</w:t>
      </w:r>
    </w:p>
    <w:p>
      <w:pPr>
        <w:numPr>
          <w:ilvl w:val="0"/>
          <w:numId w:val="1034"/>
        </w:numPr>
        <w:pStyle w:val="Compact"/>
      </w:pPr>
      <w:r>
        <w:rPr>
          <w:bCs/>
          <w:b/>
        </w:rPr>
        <w:t xml:space="preserve">Orientação do FAQ:</w:t>
      </w:r>
      <w:r>
        <w:t xml:space="preserve"> </w:t>
      </w:r>
      <w:r>
        <w:t xml:space="preserve">não aborda.</w:t>
      </w:r>
    </w:p>
    <w:p>
      <w:pPr>
        <w:numPr>
          <w:ilvl w:val="0"/>
          <w:numId w:val="1034"/>
        </w:numPr>
        <w:pStyle w:val="Compact"/>
      </w:pPr>
      <w:r>
        <w:rPr>
          <w:bCs/>
          <w:b/>
        </w:rPr>
        <w:t xml:space="preserve">Tipo:</w:t>
      </w:r>
      <w:r>
        <w:t xml:space="preserve"> </w:t>
      </w:r>
      <w:r>
        <w:t xml:space="preserve">lacuna.</w:t>
      </w:r>
    </w:p>
    <w:p>
      <w:pPr>
        <w:numPr>
          <w:ilvl w:val="0"/>
          <w:numId w:val="1034"/>
        </w:numPr>
        <w:pStyle w:val="Compact"/>
      </w:pPr>
      <w:r>
        <w:rPr>
          <w:bCs/>
          <w:b/>
        </w:rPr>
        <w:t xml:space="preserve">Impacto:</w:t>
      </w:r>
      <w:r>
        <w:t xml:space="preserve"> </w:t>
      </w:r>
      <w:r>
        <w:t xml:space="preserve">a tabela mensal não faz parte da base analisada. Não se sabe onde ela é publicada, quem a mantém nem qual mês vale para o cálculo (o do chamado, o da contratação ou o do embarque).</w:t>
      </w:r>
    </w:p>
    <w:p>
      <w:pPr>
        <w:numPr>
          <w:ilvl w:val="0"/>
          <w:numId w:val="1034"/>
        </w:numPr>
        <w:pStyle w:val="Compact"/>
      </w:pPr>
      <w:r>
        <w:rPr>
          <w:bCs/>
          <w:b/>
        </w:rPr>
        <w:t xml:space="preserve">Criticidade:</w:t>
      </w:r>
      <w:r>
        <w:t xml:space="preserve"> </w:t>
      </w:r>
      <w:r>
        <w:t xml:space="preserve">Média.</w:t>
      </w:r>
    </w:p>
    <w:p>
      <w:pPr>
        <w:numPr>
          <w:ilvl w:val="0"/>
          <w:numId w:val="1034"/>
        </w:numPr>
        <w:pStyle w:val="Compact"/>
      </w:pPr>
      <w:r>
        <w:rPr>
          <w:bCs/>
          <w:b/>
        </w:rPr>
        <w:t xml:space="preserve">Pergunta:</w:t>
      </w:r>
      <w:r>
        <w:t xml:space="preserve"> </w:t>
      </w:r>
      <w:r>
        <w:t xml:space="preserve">onde a tabela mensal de fretes é publicada e quem a mantém? Qual mês de referência vale para o cálculo?</w:t>
      </w:r>
    </w:p>
    <w:bookmarkEnd w:id="44"/>
    <w:bookmarkStart w:id="45" w:name="multiplicadores-regionais"/>
    <w:p>
      <w:pPr>
        <w:pStyle w:val="Heading4"/>
      </w:pPr>
      <w:r>
        <w:t xml:space="preserve">3. Multiplicadores regionais</w:t>
      </w:r>
    </w:p>
    <w:p>
      <w:pPr>
        <w:numPr>
          <w:ilvl w:val="0"/>
          <w:numId w:val="1035"/>
        </w:numPr>
        <w:pStyle w:val="Compact"/>
      </w:pPr>
      <w:r>
        <w:rPr>
          <w:bCs/>
          <w:b/>
        </w:rPr>
        <w:t xml:space="preserve">Regra no PROC-042 v1:</w:t>
      </w:r>
      <w:r>
        <w:t xml:space="preserve"> </w:t>
      </w:r>
      <w:r>
        <w:t xml:space="preserve">Sul 1.2, Sudeste 1.0, Centro-Oeste 1.3, Nordeste 1.4, Norte 1.6, aplicados conforme a região de destino.</w:t>
      </w:r>
    </w:p>
    <w:p>
      <w:pPr>
        <w:numPr>
          <w:ilvl w:val="0"/>
          <w:numId w:val="1035"/>
        </w:numPr>
        <w:pStyle w:val="Compact"/>
      </w:pPr>
      <w:r>
        <w:rPr>
          <w:bCs/>
          <w:b/>
        </w:rPr>
        <w:t xml:space="preserve">Orientação do FAQ (item 8):</w:t>
      </w:r>
      <w:r>
        <w:t xml:space="preserve"> </w:t>
      </w:r>
      <w:r>
        <w:t xml:space="preserve">afirma que existem duas versões da PROC-042 e que</w:t>
      </w:r>
      <w:r>
        <w:t xml:space="preserve"> </w:t>
      </w:r>
      <w:r>
        <w:t xml:space="preserve">“</w:t>
      </w:r>
      <w:r>
        <w:t xml:space="preserve">a mais recente tem multiplicadores mais altos</w:t>
      </w:r>
      <w:r>
        <w:t xml:space="preserve">”</w:t>
      </w:r>
      <w:r>
        <w:t xml:space="preserve">. Também fala em</w:t>
      </w:r>
      <w:r>
        <w:t xml:space="preserve"> </w:t>
      </w:r>
      <w:r>
        <w:t xml:space="preserve">“</w:t>
      </w:r>
      <w:r>
        <w:t xml:space="preserve">multiplicadores por região</w:t>
      </w:r>
      <w:r>
        <w:t xml:space="preserve">”</w:t>
      </w:r>
      <w:r>
        <w:t xml:space="preserve">, sem dizer se é a região de origem ou de destino.</w:t>
      </w:r>
    </w:p>
    <w:p>
      <w:pPr>
        <w:numPr>
          <w:ilvl w:val="0"/>
          <w:numId w:val="1035"/>
        </w:numPr>
        <w:pStyle w:val="Compact"/>
      </w:pPr>
      <w:r>
        <w:rPr>
          <w:bCs/>
          <w:b/>
        </w:rPr>
        <w:t xml:space="preserve">Tipo:</w:t>
      </w:r>
      <w:r>
        <w:t xml:space="preserve"> </w:t>
      </w:r>
      <w:r>
        <w:t xml:space="preserve">conflito potencial e ambiguidade. O FAQ indica a existência de outra tabela de multiplicadores, que não pode ser verificada com os arquivos disponíveis. A v1 também não define como as regiões são delimitadas (por UF, CEP ou rota).</w:t>
      </w:r>
    </w:p>
    <w:p>
      <w:pPr>
        <w:numPr>
          <w:ilvl w:val="0"/>
          <w:numId w:val="1035"/>
        </w:numPr>
        <w:pStyle w:val="Compact"/>
      </w:pPr>
      <w:r>
        <w:rPr>
          <w:bCs/>
          <w:b/>
        </w:rPr>
        <w:t xml:space="preserve">Impacto:</w:t>
      </w:r>
      <w:r>
        <w:t xml:space="preserve"> </w:t>
      </w:r>
      <w:r>
        <w:t xml:space="preserve">se o atendimento usa multiplicadores diferentes dos da v1, o mesmo frete pode ter valores distintos. Isso traz risco de cobrança a maior ou a menor e de contestação pelo cliente.</w:t>
      </w:r>
    </w:p>
    <w:p>
      <w:pPr>
        <w:numPr>
          <w:ilvl w:val="0"/>
          <w:numId w:val="1035"/>
        </w:numPr>
        <w:pStyle w:val="Compact"/>
      </w:pPr>
      <w:r>
        <w:rPr>
          <w:bCs/>
          <w:b/>
        </w:rPr>
        <w:t xml:space="preserve">Criticidade:</w:t>
      </w:r>
      <w:r>
        <w:t xml:space="preserve"> </w:t>
      </w:r>
      <w:r>
        <w:t xml:space="preserve">Alta.</w:t>
      </w:r>
    </w:p>
    <w:p>
      <w:pPr>
        <w:numPr>
          <w:ilvl w:val="0"/>
          <w:numId w:val="1035"/>
        </w:numPr>
        <w:pStyle w:val="Compact"/>
      </w:pPr>
      <w:r>
        <w:rPr>
          <w:bCs/>
          <w:b/>
        </w:rPr>
        <w:t xml:space="preserve">Pergunta:</w:t>
      </w:r>
      <w:r>
        <w:t xml:space="preserve"> </w:t>
      </w:r>
      <w:r>
        <w:t xml:space="preserve">os multiplicadores da v1 são os oficiais vigentes? Existe outra tabela em uso? A região é definida por UF? O multiplicador considera sempre e somente o destino?</w:t>
      </w:r>
    </w:p>
    <w:bookmarkEnd w:id="45"/>
    <w:bookmarkStart w:id="46" w:name="X5e27ceebef7dca3aae716c2188866ceff417202"/>
    <w:p>
      <w:pPr>
        <w:pStyle w:val="Heading4"/>
      </w:pPr>
      <w:r>
        <w:t xml:space="preserve">4. Limite de 500 kg e faixas de fator de peso</w:t>
      </w:r>
    </w:p>
    <w:p>
      <w:pPr>
        <w:numPr>
          <w:ilvl w:val="0"/>
          <w:numId w:val="1036"/>
        </w:numPr>
        <w:pStyle w:val="Compact"/>
      </w:pPr>
      <w:r>
        <w:rPr>
          <w:bCs/>
          <w:b/>
        </w:rPr>
        <w:t xml:space="preserve">Regra no PROC-042 v1:</w:t>
      </w:r>
      <w:r>
        <w:t xml:space="preserve"> </w:t>
      </w:r>
      <w:r>
        <w:t xml:space="preserve">o objetivo fala em cargas</w:t>
      </w:r>
      <w:r>
        <w:t xml:space="preserve"> </w:t>
      </w:r>
      <w:r>
        <w:t xml:space="preserve">“</w:t>
      </w:r>
      <w:r>
        <w:t xml:space="preserve">com peso acima de 500 kg</w:t>
      </w:r>
      <w:r>
        <w:t xml:space="preserve">”</w:t>
      </w:r>
      <w:r>
        <w:t xml:space="preserve">. O fator de peso é 1.0 de</w:t>
      </w:r>
      <w:r>
        <w:t xml:space="preserve"> </w:t>
      </w:r>
      <w:r>
        <w:t xml:space="preserve">“</w:t>
      </w:r>
      <w:r>
        <w:t xml:space="preserve">500 kg a 1.000 kg</w:t>
      </w:r>
      <w:r>
        <w:t xml:space="preserve">”</w:t>
      </w:r>
      <w:r>
        <w:t xml:space="preserve">, 1.2 de 1.001 a 3.000 kg e 1.5 acima de 3.000 kg.</w:t>
      </w:r>
    </w:p>
    <w:p>
      <w:pPr>
        <w:numPr>
          <w:ilvl w:val="0"/>
          <w:numId w:val="1036"/>
        </w:numPr>
        <w:pStyle w:val="Compact"/>
      </w:pPr>
      <w:r>
        <w:rPr>
          <w:bCs/>
          <w:b/>
        </w:rPr>
        <w:t xml:space="preserve">Orientação do FAQ (item 8):</w:t>
      </w:r>
      <w:r>
        <w:t xml:space="preserve"> </w:t>
      </w:r>
      <w:r>
        <w:t xml:space="preserve">“</w:t>
      </w:r>
      <w:r>
        <w:t xml:space="preserve">Acima de 500kg</w:t>
      </w:r>
      <w:r>
        <w:t xml:space="preserve">”</w:t>
      </w:r>
      <w:r>
        <w:t xml:space="preserve">.</w:t>
      </w:r>
    </w:p>
    <w:p>
      <w:pPr>
        <w:numPr>
          <w:ilvl w:val="0"/>
          <w:numId w:val="1036"/>
        </w:numPr>
        <w:pStyle w:val="Compact"/>
      </w:pPr>
      <w:r>
        <w:rPr>
          <w:bCs/>
          <w:b/>
        </w:rPr>
        <w:t xml:space="preserve">Tipo:</w:t>
      </w:r>
      <w:r>
        <w:t xml:space="preserve"> </w:t>
      </w:r>
      <w:r>
        <w:t xml:space="preserve">inconsistência interna da v1. O objetivo exclui 500 kg (</w:t>
      </w:r>
      <w:r>
        <w:t xml:space="preserve">“</w:t>
      </w:r>
      <w:r>
        <w:t xml:space="preserve">acima de</w:t>
      </w:r>
      <w:r>
        <w:t xml:space="preserve">”</w:t>
      </w:r>
      <w:r>
        <w:t xml:space="preserve">), mas a primeira faixa inclui (</w:t>
      </w:r>
      <w:r>
        <w:t xml:space="preserve">“</w:t>
      </w:r>
      <w:r>
        <w:t xml:space="preserve">de 500 kg</w:t>
      </w:r>
      <w:r>
        <w:t xml:space="preserve">”</w:t>
      </w:r>
      <w:r>
        <w:t xml:space="preserve">). As faixas também saltam de 1.000 para 1.001 kg, sem regra para pesos fracionados (por exemplo, 1.000,5 kg).</w:t>
      </w:r>
    </w:p>
    <w:p>
      <w:pPr>
        <w:numPr>
          <w:ilvl w:val="0"/>
          <w:numId w:val="1036"/>
        </w:numPr>
        <w:pStyle w:val="Compact"/>
      </w:pPr>
      <w:r>
        <w:rPr>
          <w:bCs/>
          <w:b/>
        </w:rPr>
        <w:t xml:space="preserve">Impacto:</w:t>
      </w:r>
      <w:r>
        <w:t xml:space="preserve"> </w:t>
      </w:r>
      <w:r>
        <w:t xml:space="preserve">uma carga de exatamente 500 kg pode ou não ser frete especial. Pesos fracionados não têm faixa definida. Isso é um problema direto para implementar o cálculo em sistema.</w:t>
      </w:r>
    </w:p>
    <w:p>
      <w:pPr>
        <w:numPr>
          <w:ilvl w:val="0"/>
          <w:numId w:val="1036"/>
        </w:numPr>
        <w:pStyle w:val="Compact"/>
      </w:pPr>
      <w:r>
        <w:rPr>
          <w:bCs/>
          <w:b/>
        </w:rPr>
        <w:t xml:space="preserve">Criticidade:</w:t>
      </w:r>
      <w:r>
        <w:t xml:space="preserve"> </w:t>
      </w:r>
      <w:r>
        <w:t xml:space="preserve">Média.</w:t>
      </w:r>
    </w:p>
    <w:p>
      <w:pPr>
        <w:numPr>
          <w:ilvl w:val="0"/>
          <w:numId w:val="1036"/>
        </w:numPr>
        <w:pStyle w:val="Compact"/>
      </w:pPr>
      <w:r>
        <w:rPr>
          <w:bCs/>
          <w:b/>
        </w:rPr>
        <w:t xml:space="preserve">Pergunta:</w:t>
      </w:r>
      <w:r>
        <w:t xml:space="preserve"> </w:t>
      </w:r>
      <w:r>
        <w:t xml:space="preserve">carga de exatamente 500 kg é frete especial? Como tratar pesos fracionados entre as faixas?</w:t>
      </w:r>
    </w:p>
    <w:bookmarkEnd w:id="46"/>
    <w:bookmarkStart w:id="47" w:name="tipo-de-peso-considerado"/>
    <w:p>
      <w:pPr>
        <w:pStyle w:val="Heading4"/>
      </w:pPr>
      <w:r>
        <w:t xml:space="preserve">5. Tipo de peso considerado</w:t>
      </w:r>
    </w:p>
    <w:p>
      <w:pPr>
        <w:numPr>
          <w:ilvl w:val="0"/>
          <w:numId w:val="1037"/>
        </w:numPr>
        <w:pStyle w:val="Compact"/>
      </w:pPr>
      <w:r>
        <w:rPr>
          <w:bCs/>
          <w:b/>
        </w:rPr>
        <w:t xml:space="preserve">Regra no PROC-042 v1:</w:t>
      </w:r>
      <w:r>
        <w:t xml:space="preserve"> </w:t>
      </w:r>
      <w:r>
        <w:t xml:space="preserve">não define se o peso é o real, o cubado ou o maior dos dois.</w:t>
      </w:r>
    </w:p>
    <w:p>
      <w:pPr>
        <w:numPr>
          <w:ilvl w:val="0"/>
          <w:numId w:val="1037"/>
        </w:numPr>
        <w:pStyle w:val="Compact"/>
      </w:pPr>
      <w:r>
        <w:rPr>
          <w:bCs/>
          <w:b/>
        </w:rPr>
        <w:t xml:space="preserve">Orientação do FAQ:</w:t>
      </w:r>
      <w:r>
        <w:t xml:space="preserve"> </w:t>
      </w:r>
      <w:r>
        <w:t xml:space="preserve">não aborda.</w:t>
      </w:r>
    </w:p>
    <w:p>
      <w:pPr>
        <w:numPr>
          <w:ilvl w:val="0"/>
          <w:numId w:val="1037"/>
        </w:numPr>
        <w:pStyle w:val="Compact"/>
      </w:pPr>
      <w:r>
        <w:rPr>
          <w:bCs/>
          <w:b/>
        </w:rPr>
        <w:t xml:space="preserve">Tipo:</w:t>
      </w:r>
      <w:r>
        <w:t xml:space="preserve"> </w:t>
      </w:r>
      <w:r>
        <w:t xml:space="preserve">lacuna.</w:t>
      </w:r>
    </w:p>
    <w:p>
      <w:pPr>
        <w:numPr>
          <w:ilvl w:val="0"/>
          <w:numId w:val="1037"/>
        </w:numPr>
        <w:pStyle w:val="Compact"/>
      </w:pPr>
      <w:r>
        <w:rPr>
          <w:bCs/>
          <w:b/>
        </w:rPr>
        <w:t xml:space="preserve">Impacto:</w:t>
      </w:r>
      <w:r>
        <w:t xml:space="preserve"> </w:t>
      </w:r>
      <w:r>
        <w:t xml:space="preserve">cargas volumosas e leves podem ser enquadradas de formas diferentes, tanto no limite de 500 kg quanto nas faixas de fator de peso.</w:t>
      </w:r>
    </w:p>
    <w:p>
      <w:pPr>
        <w:numPr>
          <w:ilvl w:val="0"/>
          <w:numId w:val="1037"/>
        </w:numPr>
        <w:pStyle w:val="Compact"/>
      </w:pPr>
      <w:r>
        <w:rPr>
          <w:bCs/>
          <w:b/>
        </w:rPr>
        <w:t xml:space="preserve">Criticidade:</w:t>
      </w:r>
      <w:r>
        <w:t xml:space="preserve"> </w:t>
      </w:r>
      <w:r>
        <w:t xml:space="preserve">Média.</w:t>
      </w:r>
    </w:p>
    <w:p>
      <w:pPr>
        <w:numPr>
          <w:ilvl w:val="0"/>
          <w:numId w:val="1037"/>
        </w:numPr>
        <w:pStyle w:val="Compact"/>
      </w:pPr>
      <w:r>
        <w:rPr>
          <w:bCs/>
          <w:b/>
        </w:rPr>
        <w:t xml:space="preserve">Pergunta:</w:t>
      </w:r>
      <w:r>
        <w:t xml:space="preserve"> </w:t>
      </w:r>
      <w:r>
        <w:t xml:space="preserve">qual peso é usado para enquadramento e cálculo?</w:t>
      </w:r>
    </w:p>
    <w:bookmarkEnd w:id="47"/>
    <w:bookmarkStart w:id="48" w:name="prazo-de-entrega"/>
    <w:p>
      <w:pPr>
        <w:pStyle w:val="Heading4"/>
      </w:pPr>
      <w:r>
        <w:t xml:space="preserve">6. Prazo de entrega</w:t>
      </w:r>
    </w:p>
    <w:p>
      <w:pPr>
        <w:numPr>
          <w:ilvl w:val="0"/>
          <w:numId w:val="1038"/>
        </w:numPr>
        <w:pStyle w:val="Compact"/>
      </w:pPr>
      <w:r>
        <w:rPr>
          <w:bCs/>
          <w:b/>
        </w:rPr>
        <w:t xml:space="preserve">Regra no PROC-042 v1:</w:t>
      </w:r>
      <w:r>
        <w:t xml:space="preserve"> </w:t>
      </w:r>
      <w:r>
        <w:t xml:space="preserve">prazo padrão da rota + 2 dias úteis adicionais para manuseio de carga pesada.</w:t>
      </w:r>
    </w:p>
    <w:p>
      <w:pPr>
        <w:numPr>
          <w:ilvl w:val="0"/>
          <w:numId w:val="1038"/>
        </w:numPr>
        <w:pStyle w:val="Compact"/>
      </w:pPr>
      <w:r>
        <w:rPr>
          <w:bCs/>
          <w:b/>
        </w:rPr>
        <w:t xml:space="preserve">Orientação do FAQ (item 27):</w:t>
      </w:r>
      <w:r>
        <w:t xml:space="preserve"> </w:t>
      </w:r>
      <w:r>
        <w:t xml:space="preserve">“</w:t>
      </w:r>
      <w:r>
        <w:t xml:space="preserve">Rotas para o Norte podem levar até 10 dias úteis. Para Sul/Sudeste, mais de 3 dias parado é estranho.</w:t>
      </w:r>
      <w:r>
        <w:t xml:space="preserve">”</w:t>
      </w:r>
      <w:r>
        <w:t xml:space="preserve"> </w:t>
      </w:r>
      <w:r>
        <w:t xml:space="preserve">O FAQ não menciona os +2 dias do frete especial.</w:t>
      </w:r>
    </w:p>
    <w:p>
      <w:pPr>
        <w:numPr>
          <w:ilvl w:val="0"/>
          <w:numId w:val="1038"/>
        </w:numPr>
        <w:pStyle w:val="Compact"/>
      </w:pPr>
      <w:r>
        <w:rPr>
          <w:bCs/>
          <w:b/>
        </w:rPr>
        <w:t xml:space="preserve">Tipo:</w:t>
      </w:r>
      <w:r>
        <w:t xml:space="preserve"> </w:t>
      </w:r>
      <w:r>
        <w:t xml:space="preserve">lacuna e ambiguidade. A v1 não define onde está o</w:t>
      </w:r>
      <w:r>
        <w:t xml:space="preserve"> </w:t>
      </w:r>
      <w:r>
        <w:t xml:space="preserve">“</w:t>
      </w:r>
      <w:r>
        <w:t xml:space="preserve">prazo padrão da rota</w:t>
      </w:r>
      <w:r>
        <w:t xml:space="preserve">”</w:t>
      </w:r>
      <w:r>
        <w:t xml:space="preserve">. O FAQ usa referências informais de prazo por região que não aparecem na v1 e não diferencia frete comum de frete especial.</w:t>
      </w:r>
    </w:p>
    <w:p>
      <w:pPr>
        <w:numPr>
          <w:ilvl w:val="0"/>
          <w:numId w:val="1038"/>
        </w:numPr>
        <w:pStyle w:val="Compact"/>
      </w:pPr>
      <w:r>
        <w:rPr>
          <w:bCs/>
          <w:b/>
        </w:rPr>
        <w:t xml:space="preserve">Impacto:</w:t>
      </w:r>
      <w:r>
        <w:t xml:space="preserve"> </w:t>
      </w:r>
      <w:r>
        <w:t xml:space="preserve">o prazo prometido ao cliente pode variar conforme o atendente. Chamados de atraso podem ser abertos para frete especial ainda dentro do prazo, ou deixar de ser abertos quando está fora.</w:t>
      </w:r>
    </w:p>
    <w:p>
      <w:pPr>
        <w:numPr>
          <w:ilvl w:val="0"/>
          <w:numId w:val="1038"/>
        </w:numPr>
        <w:pStyle w:val="Compact"/>
      </w:pPr>
      <w:r>
        <w:rPr>
          <w:bCs/>
          <w:b/>
        </w:rPr>
        <w:t xml:space="preserve">Criticidade:</w:t>
      </w:r>
      <w:r>
        <w:t xml:space="preserve"> </w:t>
      </w:r>
      <w:r>
        <w:t xml:space="preserve">Média.</w:t>
      </w:r>
    </w:p>
    <w:p>
      <w:pPr>
        <w:numPr>
          <w:ilvl w:val="0"/>
          <w:numId w:val="1038"/>
        </w:numPr>
        <w:pStyle w:val="Compact"/>
      </w:pPr>
      <w:r>
        <w:rPr>
          <w:bCs/>
          <w:b/>
        </w:rPr>
        <w:t xml:space="preserve">Pergunta:</w:t>
      </w:r>
      <w:r>
        <w:t xml:space="preserve"> </w:t>
      </w:r>
      <w:r>
        <w:t xml:space="preserve">onde está a tabela oficial de prazo padrão por rota? As referências do FAQ estão corretas? Elas já incluem os +2 dias do frete especial?</w:t>
      </w:r>
    </w:p>
    <w:bookmarkEnd w:id="48"/>
    <w:bookmarkStart w:id="49" w:name="descontos-por-volume"/>
    <w:p>
      <w:pPr>
        <w:pStyle w:val="Heading4"/>
      </w:pPr>
      <w:r>
        <w:t xml:space="preserve">7. Descontos por volume</w:t>
      </w:r>
    </w:p>
    <w:p>
      <w:pPr>
        <w:numPr>
          <w:ilvl w:val="0"/>
          <w:numId w:val="1039"/>
        </w:numPr>
        <w:pStyle w:val="Compact"/>
      </w:pPr>
      <w:r>
        <w:rPr>
          <w:bCs/>
          <w:b/>
        </w:rPr>
        <w:t xml:space="preserve">Regra no PROC-042 v1:</w:t>
      </w:r>
      <w:r>
        <w:t xml:space="preserve"> </w:t>
      </w:r>
      <w:r>
        <w:t xml:space="preserve">para mais de 10 fretes especiais por mês para o mesmo cliente, os descontos</w:t>
      </w:r>
      <w:r>
        <w:t xml:space="preserve"> </w:t>
      </w:r>
      <w:r>
        <w:t xml:space="preserve">“</w:t>
      </w:r>
      <w:r>
        <w:t xml:space="preserve">devem ser negociados pelo Comercial e registrados em aditivo contratual</w:t>
      </w:r>
      <w:r>
        <w:t xml:space="preserve">”</w:t>
      </w:r>
      <w:r>
        <w:t xml:space="preserve">. Não há percentual definido.</w:t>
      </w:r>
    </w:p>
    <w:p>
      <w:pPr>
        <w:numPr>
          <w:ilvl w:val="0"/>
          <w:numId w:val="1039"/>
        </w:numPr>
        <w:pStyle w:val="Compact"/>
      </w:pPr>
      <w:r>
        <w:rPr>
          <w:bCs/>
          <w:b/>
        </w:rPr>
        <w:t xml:space="preserve">Orientação do FAQ (item 45):</w:t>
      </w:r>
      <w:r>
        <w:t xml:space="preserve"> </w:t>
      </w:r>
      <w:r>
        <w:t xml:space="preserve">“</w:t>
      </w:r>
      <w:r>
        <w:t xml:space="preserve">Para clientes com mais de 10 fretes especiais por mês, existe desconto automático na tabela (veja PROC-042).</w:t>
      </w:r>
      <w:r>
        <w:t xml:space="preserve">”</w:t>
      </w:r>
      <w:r>
        <w:t xml:space="preserve"> </w:t>
      </w:r>
      <w:r>
        <w:t xml:space="preserve">Também afirma que o atendente não tem autonomia para dar desconto.</w:t>
      </w:r>
    </w:p>
    <w:p>
      <w:pPr>
        <w:numPr>
          <w:ilvl w:val="0"/>
          <w:numId w:val="1039"/>
        </w:numPr>
        <w:pStyle w:val="Compact"/>
      </w:pPr>
      <w:r>
        <w:rPr>
          <w:bCs/>
          <w:b/>
        </w:rPr>
        <w:t xml:space="preserve">Tipo:</w:t>
      </w:r>
      <w:r>
        <w:t xml:space="preserve"> </w:t>
      </w:r>
      <w:r>
        <w:t xml:space="preserve">contradição. O limite de volume coincide, mas a v1 exige negociação e aditivo, enquanto o FAQ afirma que o desconto é automático e cita a própria PROC-042 como fonte. A parte sobre a falta de autonomia do atendente é coerente com a v1. A v1 também não define se o mês é calendário ou janela móvel, nem se a contagem é por CNPJ, grupo econômico ou contrato.</w:t>
      </w:r>
    </w:p>
    <w:p>
      <w:pPr>
        <w:numPr>
          <w:ilvl w:val="0"/>
          <w:numId w:val="1039"/>
        </w:numPr>
        <w:pStyle w:val="Compact"/>
      </w:pPr>
      <w:r>
        <w:rPr>
          <w:bCs/>
          <w:b/>
        </w:rPr>
        <w:t xml:space="preserve">Impacto:</w:t>
      </w:r>
      <w:r>
        <w:t xml:space="preserve"> </w:t>
      </w:r>
      <w:r>
        <w:t xml:space="preserve">o atendimento pode informar ao cliente um direito a desconto automático que o procedimento não prevê. Isso gera expectativa indevida, disputa comercial ou desconto aplicado sem aditivo.</w:t>
      </w:r>
    </w:p>
    <w:p>
      <w:pPr>
        <w:numPr>
          <w:ilvl w:val="0"/>
          <w:numId w:val="1039"/>
        </w:numPr>
        <w:pStyle w:val="Compact"/>
      </w:pPr>
      <w:r>
        <w:rPr>
          <w:bCs/>
          <w:b/>
        </w:rPr>
        <w:t xml:space="preserve">Criticidade:</w:t>
      </w:r>
      <w:r>
        <w:t xml:space="preserve"> </w:t>
      </w:r>
      <w:r>
        <w:t xml:space="preserve">Alta.</w:t>
      </w:r>
    </w:p>
    <w:p>
      <w:pPr>
        <w:numPr>
          <w:ilvl w:val="0"/>
          <w:numId w:val="1039"/>
        </w:numPr>
        <w:pStyle w:val="Compact"/>
      </w:pPr>
      <w:r>
        <w:rPr>
          <w:bCs/>
          <w:b/>
        </w:rPr>
        <w:t xml:space="preserve">Pergunta:</w:t>
      </w:r>
      <w:r>
        <w:t xml:space="preserve"> </w:t>
      </w:r>
      <w:r>
        <w:t xml:space="preserve">o desconto por volume é automático ou depende de negociação e aditivo? Se for automático, onde está a tabela de percentuais? Como o volume mensal é apurado?</w:t>
      </w:r>
    </w:p>
    <w:bookmarkEnd w:id="49"/>
    <w:bookmarkStart w:id="50" w:name="exceção-cargas-perigosas"/>
    <w:p>
      <w:pPr>
        <w:pStyle w:val="Heading4"/>
      </w:pPr>
      <w:r>
        <w:t xml:space="preserve">8. Exceção: cargas perigosas</w:t>
      </w:r>
    </w:p>
    <w:p>
      <w:pPr>
        <w:numPr>
          <w:ilvl w:val="0"/>
          <w:numId w:val="1040"/>
        </w:numPr>
        <w:pStyle w:val="Compact"/>
      </w:pPr>
      <w:r>
        <w:rPr>
          <w:bCs/>
          <w:b/>
        </w:rPr>
        <w:t xml:space="preserve">Regra no PROC-042 v1:</w:t>
      </w:r>
      <w:r>
        <w:t xml:space="preserve"> </w:t>
      </w:r>
      <w:r>
        <w:t xml:space="preserve">cargas perigosas com peso acima de 500 kg</w:t>
      </w:r>
      <w:r>
        <w:t xml:space="preserve"> </w:t>
      </w:r>
      <w:r>
        <w:t xml:space="preserve">“</w:t>
      </w:r>
      <w:r>
        <w:t xml:space="preserve">seguem tabela específica (PROC-043: Frete de Cargas Perigosas)</w:t>
      </w:r>
      <w:r>
        <w:t xml:space="preserve">”</w:t>
      </w:r>
      <w:r>
        <w:t xml:space="preserve">.</w:t>
      </w:r>
    </w:p>
    <w:p>
      <w:pPr>
        <w:numPr>
          <w:ilvl w:val="0"/>
          <w:numId w:val="1040"/>
        </w:numPr>
        <w:pStyle w:val="Compact"/>
      </w:pPr>
      <w:r>
        <w:rPr>
          <w:bCs/>
          <w:b/>
        </w:rPr>
        <w:t xml:space="preserve">Orientação do FAQ (item 32):</w:t>
      </w:r>
      <w:r>
        <w:t xml:space="preserve"> </w:t>
      </w:r>
      <w:r>
        <w:t xml:space="preserve">frete expresso de carga perigosa</w:t>
      </w:r>
      <w:r>
        <w:t xml:space="preserve"> </w:t>
      </w:r>
      <w:r>
        <w:t xml:space="preserve">“</w:t>
      </w:r>
      <w:r>
        <w:t xml:space="preserve">precisa de autorização do Compliance e a documentação ANTT tem que estar atualizada</w:t>
      </w:r>
      <w:r>
        <w:t xml:space="preserve">”</w:t>
      </w:r>
      <w:r>
        <w:t xml:space="preserve">, com cerca de 2 dias para a autorização. O item 8 não menciona a PROC-043.</w:t>
      </w:r>
    </w:p>
    <w:p>
      <w:pPr>
        <w:numPr>
          <w:ilvl w:val="0"/>
          <w:numId w:val="1040"/>
        </w:numPr>
        <w:pStyle w:val="Compact"/>
      </w:pPr>
      <w:r>
        <w:rPr>
          <w:bCs/>
          <w:b/>
        </w:rPr>
        <w:t xml:space="preserve">Tipo:</w:t>
      </w:r>
      <w:r>
        <w:t xml:space="preserve"> </w:t>
      </w:r>
      <w:r>
        <w:t xml:space="preserve">lacuna e regra informal não prevista. A PROC-043 não faz parte da base analisada. A exigência de autorização do Compliance e de documentação ANTT não aparece na v1, e o frete expresso não é tratado pela v1.</w:t>
      </w:r>
    </w:p>
    <w:p>
      <w:pPr>
        <w:numPr>
          <w:ilvl w:val="0"/>
          <w:numId w:val="1040"/>
        </w:numPr>
        <w:pStyle w:val="Compact"/>
      </w:pPr>
      <w:r>
        <w:rPr>
          <w:bCs/>
          <w:b/>
        </w:rPr>
        <w:t xml:space="preserve">Impacto:</w:t>
      </w:r>
      <w:r>
        <w:t xml:space="preserve"> </w:t>
      </w:r>
      <w:r>
        <w:t xml:space="preserve">risco regulatório e de segurança. O atendente pode cotar carga perigosa pela tabela comum ou embarcar sem a autorização descrita no FAQ, caso essa regra seja real e não esteja formalizada.</w:t>
      </w:r>
    </w:p>
    <w:p>
      <w:pPr>
        <w:numPr>
          <w:ilvl w:val="0"/>
          <w:numId w:val="1040"/>
        </w:numPr>
        <w:pStyle w:val="Compact"/>
      </w:pPr>
      <w:r>
        <w:rPr>
          <w:bCs/>
          <w:b/>
        </w:rPr>
        <w:t xml:space="preserve">Criticidade:</w:t>
      </w:r>
      <w:r>
        <w:t xml:space="preserve"> </w:t>
      </w:r>
      <w:r>
        <w:t xml:space="preserve">Alta.</w:t>
      </w:r>
    </w:p>
    <w:p>
      <w:pPr>
        <w:numPr>
          <w:ilvl w:val="0"/>
          <w:numId w:val="1040"/>
        </w:numPr>
        <w:pStyle w:val="Compact"/>
      </w:pPr>
      <w:r>
        <w:rPr>
          <w:bCs/>
          <w:b/>
        </w:rPr>
        <w:t xml:space="preserve">Pergunta:</w:t>
      </w:r>
      <w:r>
        <w:t xml:space="preserve"> </w:t>
      </w:r>
      <w:r>
        <w:t xml:space="preserve">a PROC-043 existe e está vigente? A autorização do Compliance e a documentação ANTT são regras oficiais? Valem para qualquer frete de carga perigosa ou só para o expresso? O tempo de autorização entra no prazo informado ao cliente?</w:t>
      </w:r>
    </w:p>
    <w:bookmarkEnd w:id="50"/>
    <w:bookmarkStart w:id="51" w:name="Xaeb5738591da3121bd60f5d0509f066782ed8f1"/>
    <w:p>
      <w:pPr>
        <w:pStyle w:val="Heading4"/>
      </w:pPr>
      <w:r>
        <w:t xml:space="preserve">9. Exceção: aprovação prévia de cargas acima de 5.000 kg</w:t>
      </w:r>
    </w:p>
    <w:p>
      <w:pPr>
        <w:numPr>
          <w:ilvl w:val="0"/>
          <w:numId w:val="1041"/>
        </w:numPr>
        <w:pStyle w:val="Compact"/>
      </w:pPr>
      <w:r>
        <w:rPr>
          <w:bCs/>
          <w:b/>
        </w:rPr>
        <w:t xml:space="preserve">Regra no PROC-042 v1:</w:t>
      </w:r>
      <w:r>
        <w:t xml:space="preserve"> </w:t>
      </w:r>
      <w:r>
        <w:t xml:space="preserve">exige</w:t>
      </w:r>
      <w:r>
        <w:t xml:space="preserve"> </w:t>
      </w:r>
      <w:r>
        <w:t xml:space="preserve">“</w:t>
      </w:r>
      <w:r>
        <w:t xml:space="preserve">aprovação prévia do gerente de operações regional</w:t>
      </w:r>
      <w:r>
        <w:t xml:space="preserve">”</w:t>
      </w:r>
      <w:r>
        <w:t xml:space="preserve">.</w:t>
      </w:r>
    </w:p>
    <w:p>
      <w:pPr>
        <w:numPr>
          <w:ilvl w:val="0"/>
          <w:numId w:val="1041"/>
        </w:numPr>
        <w:pStyle w:val="Compact"/>
      </w:pPr>
      <w:r>
        <w:rPr>
          <w:bCs/>
          <w:b/>
        </w:rPr>
        <w:t xml:space="preserve">Orientação do FAQ:</w:t>
      </w:r>
      <w:r>
        <w:t xml:space="preserve"> </w:t>
      </w:r>
      <w:r>
        <w:t xml:space="preserve">não aborda.</w:t>
      </w:r>
    </w:p>
    <w:p>
      <w:pPr>
        <w:numPr>
          <w:ilvl w:val="0"/>
          <w:numId w:val="1041"/>
        </w:numPr>
        <w:pStyle w:val="Compact"/>
      </w:pPr>
      <w:r>
        <w:rPr>
          <w:bCs/>
          <w:b/>
        </w:rPr>
        <w:t xml:space="preserve">Tipo:</w:t>
      </w:r>
      <w:r>
        <w:t xml:space="preserve"> </w:t>
      </w:r>
      <w:r>
        <w:t xml:space="preserve">lacuna de processo. O aprovador está definido, mas não há canal, prazo de aprovação, registro nem tratamento em caso de recusa. O FAQ não orienta o atendimento.</w:t>
      </w:r>
    </w:p>
    <w:p>
      <w:pPr>
        <w:numPr>
          <w:ilvl w:val="0"/>
          <w:numId w:val="1041"/>
        </w:numPr>
        <w:pStyle w:val="Compact"/>
      </w:pPr>
      <w:r>
        <w:rPr>
          <w:bCs/>
          <w:b/>
        </w:rPr>
        <w:t xml:space="preserve">Impacto:</w:t>
      </w:r>
      <w:r>
        <w:t xml:space="preserve"> </w:t>
      </w:r>
      <w:r>
        <w:t xml:space="preserve">o atendimento pode confirmar embarque ou prazo sem saber que a aprovação é necessária. O tempo de aprovação não está previsto no prazo de entrega.</w:t>
      </w:r>
    </w:p>
    <w:p>
      <w:pPr>
        <w:numPr>
          <w:ilvl w:val="0"/>
          <w:numId w:val="1041"/>
        </w:numPr>
        <w:pStyle w:val="Compact"/>
      </w:pPr>
      <w:r>
        <w:rPr>
          <w:bCs/>
          <w:b/>
        </w:rPr>
        <w:t xml:space="preserve">Criticidade:</w:t>
      </w:r>
      <w:r>
        <w:t xml:space="preserve"> </w:t>
      </w:r>
      <w:r>
        <w:t xml:space="preserve">Média.</w:t>
      </w:r>
    </w:p>
    <w:p>
      <w:pPr>
        <w:numPr>
          <w:ilvl w:val="0"/>
          <w:numId w:val="1041"/>
        </w:numPr>
        <w:pStyle w:val="Compact"/>
      </w:pPr>
      <w:r>
        <w:rPr>
          <w:bCs/>
          <w:b/>
        </w:rPr>
        <w:t xml:space="preserve">Pergunta:</w:t>
      </w:r>
      <w:r>
        <w:t xml:space="preserve"> </w:t>
      </w:r>
      <w:r>
        <w:t xml:space="preserve">quem aciona o gerente regional e por qual canal? Qual é o prazo de aprovação? Esse tempo entra no prazo informado ao cliente? O que acontece em caso de recusa?</w:t>
      </w:r>
    </w:p>
    <w:bookmarkEnd w:id="51"/>
    <w:bookmarkStart w:id="52" w:name="combinação-de-exceções"/>
    <w:p>
      <w:pPr>
        <w:pStyle w:val="Heading4"/>
      </w:pPr>
      <w:r>
        <w:t xml:space="preserve">10. Combinação de exceções</w:t>
      </w:r>
    </w:p>
    <w:p>
      <w:pPr>
        <w:numPr>
          <w:ilvl w:val="0"/>
          <w:numId w:val="1042"/>
        </w:numPr>
        <w:pStyle w:val="Compact"/>
      </w:pPr>
      <w:r>
        <w:rPr>
          <w:bCs/>
          <w:b/>
        </w:rPr>
        <w:t xml:space="preserve">Regra no PROC-042 v1:</w:t>
      </w:r>
      <w:r>
        <w:t xml:space="preserve"> </w:t>
      </w:r>
      <w:r>
        <w:t xml:space="preserve">as condições especiais (cargas acima de 5.000 kg e cargas perigosas) aparecem como itens independentes, sem regra para quando ocorrem juntas.</w:t>
      </w:r>
    </w:p>
    <w:p>
      <w:pPr>
        <w:numPr>
          <w:ilvl w:val="0"/>
          <w:numId w:val="1042"/>
        </w:numPr>
        <w:pStyle w:val="Compact"/>
      </w:pPr>
      <w:r>
        <w:rPr>
          <w:bCs/>
          <w:b/>
        </w:rPr>
        <w:t xml:space="preserve">Orientação do FAQ:</w:t>
      </w:r>
      <w:r>
        <w:t xml:space="preserve"> </w:t>
      </w:r>
      <w:r>
        <w:t xml:space="preserve">não aborda.</w:t>
      </w:r>
    </w:p>
    <w:p>
      <w:pPr>
        <w:numPr>
          <w:ilvl w:val="0"/>
          <w:numId w:val="1042"/>
        </w:numPr>
        <w:pStyle w:val="Compact"/>
      </w:pPr>
      <w:r>
        <w:rPr>
          <w:bCs/>
          <w:b/>
        </w:rPr>
        <w:t xml:space="preserve">Tipo:</w:t>
      </w:r>
      <w:r>
        <w:t xml:space="preserve"> </w:t>
      </w:r>
      <w:r>
        <w:t xml:space="preserve">ambiguidade.</w:t>
      </w:r>
    </w:p>
    <w:p>
      <w:pPr>
        <w:numPr>
          <w:ilvl w:val="0"/>
          <w:numId w:val="1042"/>
        </w:numPr>
        <w:pStyle w:val="Compact"/>
      </w:pPr>
      <w:r>
        <w:rPr>
          <w:bCs/>
          <w:b/>
        </w:rPr>
        <w:t xml:space="preserve">Impacto:</w:t>
      </w:r>
      <w:r>
        <w:t xml:space="preserve"> </w:t>
      </w:r>
      <w:r>
        <w:t xml:space="preserve">para uma carga perigosa acima de 5.000 kg, não está claro se valem as duas exigências (aprovação regional e PROC-043) e em que ordem. Também não está claro se a carga perigosa segue a fórmula da v1 com outra tabela ou um cálculo totalmente diferente.</w:t>
      </w:r>
    </w:p>
    <w:p>
      <w:pPr>
        <w:numPr>
          <w:ilvl w:val="0"/>
          <w:numId w:val="1042"/>
        </w:numPr>
        <w:pStyle w:val="Compact"/>
      </w:pPr>
      <w:r>
        <w:rPr>
          <w:bCs/>
          <w:b/>
        </w:rPr>
        <w:t xml:space="preserve">Criticidade:</w:t>
      </w:r>
      <w:r>
        <w:t xml:space="preserve"> </w:t>
      </w:r>
      <w:r>
        <w:t xml:space="preserve">Média.</w:t>
      </w:r>
    </w:p>
    <w:p>
      <w:pPr>
        <w:numPr>
          <w:ilvl w:val="0"/>
          <w:numId w:val="1042"/>
        </w:numPr>
        <w:pStyle w:val="Compact"/>
      </w:pPr>
      <w:r>
        <w:rPr>
          <w:bCs/>
          <w:b/>
        </w:rPr>
        <w:t xml:space="preserve">Pergunta:</w:t>
      </w:r>
      <w:r>
        <w:t xml:space="preserve"> </w:t>
      </w:r>
      <w:r>
        <w:t xml:space="preserve">carga perigosa acima de 5.000 kg precisa da aprovação regional e também seguir a PROC-043? A PROC-043 substitui toda a fórmula da v1 ou só os parâmetros?</w:t>
      </w:r>
    </w:p>
    <w:bookmarkEnd w:id="52"/>
    <w:bookmarkStart w:id="53" w:name="vigência-e-versionamento"/>
    <w:p>
      <w:pPr>
        <w:pStyle w:val="Heading4"/>
      </w:pPr>
      <w:r>
        <w:t xml:space="preserve">11. Vigência e versionamento</w:t>
      </w:r>
    </w:p>
    <w:p>
      <w:pPr>
        <w:numPr>
          <w:ilvl w:val="0"/>
          <w:numId w:val="1043"/>
        </w:numPr>
        <w:pStyle w:val="Compact"/>
      </w:pPr>
      <w:r>
        <w:rPr>
          <w:bCs/>
          <w:b/>
        </w:rPr>
        <w:t xml:space="preserve">Regra no PROC-042 v1:</w:t>
      </w:r>
      <w:r>
        <w:t xml:space="preserve"> </w:t>
      </w:r>
      <w:r>
        <w:t xml:space="preserve">versão 1.0, emitida em 03/03/2023. Declara que</w:t>
      </w:r>
      <w:r>
        <w:t xml:space="preserve"> </w:t>
      </w:r>
      <w:r>
        <w:t xml:space="preserve">“</w:t>
      </w:r>
      <w:r>
        <w:t xml:space="preserve">não possui indicação formal de vigência ou obsolescência no sistema da NovaTech</w:t>
      </w:r>
      <w:r>
        <w:t xml:space="preserve">”</w:t>
      </w:r>
      <w:r>
        <w:t xml:space="preserve"> </w:t>
      </w:r>
      <w:r>
        <w:t xml:space="preserve">e que</w:t>
      </w:r>
      <w:r>
        <w:t xml:space="preserve"> </w:t>
      </w:r>
      <w:r>
        <w:t xml:space="preserve">“</w:t>
      </w:r>
      <w:r>
        <w:t xml:space="preserve">coexiste com a versão PROC-042-v2</w:t>
      </w:r>
      <w:r>
        <w:t xml:space="preserve">”</w:t>
      </w:r>
      <w:r>
        <w:t xml:space="preserve">.</w:t>
      </w:r>
    </w:p>
    <w:p>
      <w:pPr>
        <w:numPr>
          <w:ilvl w:val="0"/>
          <w:numId w:val="1043"/>
        </w:numPr>
        <w:pStyle w:val="Compact"/>
      </w:pPr>
      <w:r>
        <w:rPr>
          <w:bCs/>
          <w:b/>
        </w:rPr>
        <w:t xml:space="preserve">Orientação do FAQ (item 8):</w:t>
      </w:r>
      <w:r>
        <w:t xml:space="preserve"> </w:t>
      </w:r>
      <w:r>
        <w:t xml:space="preserve">“</w:t>
      </w:r>
      <w:r>
        <w:t xml:space="preserve">existem duas versões da PROC-042</w:t>
      </w:r>
      <w:r>
        <w:t xml:space="preserve">”</w:t>
      </w:r>
      <w:r>
        <w:t xml:space="preserve">,</w:t>
      </w:r>
      <w:r>
        <w:t xml:space="preserve"> </w:t>
      </w:r>
      <w:r>
        <w:t xml:space="preserve">“</w:t>
      </w:r>
      <w:r>
        <w:t xml:space="preserve">na dúvida, use a mais recente (v2), mas se o cliente reclamar do valor, pode ser que o contrato dele ainda esteja na tabela antiga</w:t>
      </w:r>
      <w:r>
        <w:t xml:space="preserve">”</w:t>
      </w:r>
      <w:r>
        <w:t xml:space="preserve">.</w:t>
      </w:r>
    </w:p>
    <w:p>
      <w:pPr>
        <w:numPr>
          <w:ilvl w:val="0"/>
          <w:numId w:val="1043"/>
        </w:numPr>
        <w:pStyle w:val="Compact"/>
      </w:pPr>
      <w:r>
        <w:rPr>
          <w:bCs/>
          <w:b/>
        </w:rPr>
        <w:t xml:space="preserve">Tipo:</w:t>
      </w:r>
      <w:r>
        <w:t xml:space="preserve"> </w:t>
      </w:r>
      <w:r>
        <w:t xml:space="preserve">ambiguidade de versionamento e regra informal não prevista. O documento formal não declara se está vigente e remete a uma versão que não faz parte da base analisada. O FAQ cria critérios informais de escolha (versão mais recente por padrão e verificação do contrato só se o cliente reclamar).</w:t>
      </w:r>
    </w:p>
    <w:p>
      <w:pPr>
        <w:numPr>
          <w:ilvl w:val="0"/>
          <w:numId w:val="1043"/>
        </w:numPr>
        <w:pStyle w:val="Compact"/>
      </w:pPr>
      <w:r>
        <w:rPr>
          <w:bCs/>
          <w:b/>
        </w:rPr>
        <w:t xml:space="preserve">Impacto:</w:t>
      </w:r>
      <w:r>
        <w:t xml:space="preserve"> </w:t>
      </w:r>
      <w:r>
        <w:t xml:space="preserve">não é possível afirmar, com a base disponível, que a v1 é a regra vigente. O critério do FAQ é reativo: um cliente pode ser cobrado pela tabela errada sem perceber, com correção apenas se reclamar, e sem rastro auditável da regra aplicada.</w:t>
      </w:r>
    </w:p>
    <w:p>
      <w:pPr>
        <w:numPr>
          <w:ilvl w:val="0"/>
          <w:numId w:val="1043"/>
        </w:numPr>
        <w:pStyle w:val="Compact"/>
      </w:pPr>
      <w:r>
        <w:rPr>
          <w:bCs/>
          <w:b/>
        </w:rPr>
        <w:t xml:space="preserve">Criticidade:</w:t>
      </w:r>
      <w:r>
        <w:t xml:space="preserve"> </w:t>
      </w:r>
      <w:r>
        <w:t xml:space="preserve">Alta.</w:t>
      </w:r>
    </w:p>
    <w:p>
      <w:pPr>
        <w:numPr>
          <w:ilvl w:val="0"/>
          <w:numId w:val="1043"/>
        </w:numPr>
        <w:pStyle w:val="Compact"/>
      </w:pPr>
      <w:r>
        <w:rPr>
          <w:bCs/>
          <w:b/>
        </w:rPr>
        <w:t xml:space="preserve">Pergunta:</w:t>
      </w:r>
      <w:r>
        <w:t xml:space="preserve"> </w:t>
      </w:r>
      <w:r>
        <w:t xml:space="preserve">a PROC-042 v1 está vigente? Existe outra versão em uso? Se existir, qual é o critério oficial de escolha: contrato, data do chamado ou outro? A verificação do contrato deve acontecer antes da cotação?</w:t>
      </w:r>
    </w:p>
    <w:bookmarkEnd w:id="53"/>
    <w:bookmarkStart w:id="54" w:name="responsabilidades"/>
    <w:p>
      <w:pPr>
        <w:pStyle w:val="Heading4"/>
      </w:pPr>
      <w:r>
        <w:t xml:space="preserve">12. Responsabilidades</w:t>
      </w:r>
    </w:p>
    <w:p>
      <w:pPr>
        <w:numPr>
          <w:ilvl w:val="0"/>
          <w:numId w:val="1044"/>
        </w:numPr>
        <w:pStyle w:val="Compact"/>
      </w:pPr>
      <w:r>
        <w:rPr>
          <w:bCs/>
          <w:b/>
        </w:rPr>
        <w:t xml:space="preserve">Regra no PROC-042 v1:</w:t>
      </w:r>
      <w:r>
        <w:t xml:space="preserve"> </w:t>
      </w:r>
      <w:r>
        <w:t xml:space="preserve">responsável pelo documento: Diretoria Comercial. Descontos: Comercial. Aprovação acima de 5.000 kg: gerente de operações regional.</w:t>
      </w:r>
    </w:p>
    <w:p>
      <w:pPr>
        <w:numPr>
          <w:ilvl w:val="0"/>
          <w:numId w:val="1044"/>
        </w:numPr>
        <w:pStyle w:val="Compact"/>
      </w:pPr>
      <w:r>
        <w:rPr>
          <w:bCs/>
          <w:b/>
        </w:rPr>
        <w:t xml:space="preserve">Orientação do FAQ:</w:t>
      </w:r>
      <w:r>
        <w:t xml:space="preserve"> </w:t>
      </w:r>
      <w:r>
        <w:t xml:space="preserve">não tem responsável formal (</w:t>
      </w:r>
      <w:r>
        <w:t xml:space="preserve">“</w:t>
      </w:r>
      <w:r>
        <w:t xml:space="preserve">mantido informalmente pelo time de atendimento</w:t>
      </w:r>
      <w:r>
        <w:t xml:space="preserve">”</w:t>
      </w:r>
      <w:r>
        <w:t xml:space="preserve">). Confirma que o atendente não tem autonomia para desconto e orienta encaminhar outros casos ao Comercial com justificativa.</w:t>
      </w:r>
    </w:p>
    <w:p>
      <w:pPr>
        <w:numPr>
          <w:ilvl w:val="0"/>
          <w:numId w:val="1044"/>
        </w:numPr>
        <w:pStyle w:val="Compact"/>
      </w:pPr>
      <w:r>
        <w:rPr>
          <w:bCs/>
          <w:b/>
        </w:rPr>
        <w:t xml:space="preserve">Tipo:</w:t>
      </w:r>
      <w:r>
        <w:t xml:space="preserve"> </w:t>
      </w:r>
      <w:r>
        <w:t xml:space="preserve">lacuna. A v1 não define responsável pela tabela mensal, pela definição das regiões nem pela manutenção da PROC-043. O FAQ cita a PROC-042 como fonte, mas não há quem garanta que seu conteúdo esteja alinhado ao procedimento.</w:t>
      </w:r>
    </w:p>
    <w:p>
      <w:pPr>
        <w:numPr>
          <w:ilvl w:val="0"/>
          <w:numId w:val="1044"/>
        </w:numPr>
        <w:pStyle w:val="Compact"/>
      </w:pPr>
      <w:r>
        <w:rPr>
          <w:bCs/>
          <w:b/>
        </w:rPr>
        <w:t xml:space="preserve">Impacto:</w:t>
      </w:r>
      <w:r>
        <w:t xml:space="preserve"> </w:t>
      </w:r>
      <w:r>
        <w:t xml:space="preserve">divergências entre FAQ e procedimento se espalham sem responsável por corrigi-las, como já ocorre no caso do desconto (ponto 7).</w:t>
      </w:r>
    </w:p>
    <w:p>
      <w:pPr>
        <w:numPr>
          <w:ilvl w:val="0"/>
          <w:numId w:val="1044"/>
        </w:numPr>
        <w:pStyle w:val="Compact"/>
      </w:pPr>
      <w:r>
        <w:rPr>
          <w:bCs/>
          <w:b/>
        </w:rPr>
        <w:t xml:space="preserve">Criticidade:</w:t>
      </w:r>
      <w:r>
        <w:t xml:space="preserve"> </w:t>
      </w:r>
      <w:r>
        <w:t xml:space="preserve">Média.</w:t>
      </w:r>
    </w:p>
    <w:p>
      <w:pPr>
        <w:numPr>
          <w:ilvl w:val="0"/>
          <w:numId w:val="1044"/>
        </w:numPr>
        <w:pStyle w:val="Compact"/>
      </w:pPr>
      <w:r>
        <w:rPr>
          <w:bCs/>
          <w:b/>
        </w:rPr>
        <w:t xml:space="preserve">Pergunta:</w:t>
      </w:r>
      <w:r>
        <w:t xml:space="preserve"> </w:t>
      </w:r>
      <w:r>
        <w:t xml:space="preserve">quem mantém a tabela mensal e a definição de regiões? A Diretoria Comercial deve revisar os itens do FAQ sobre frete especial? Quem passa a ser responsável por mantê-los alinhados?</w:t>
      </w:r>
    </w:p>
    <w:bookmarkEnd w:id="54"/>
    <w:bookmarkStart w:id="55" w:name="resumo"/>
    <w:p>
      <w:pPr>
        <w:pStyle w:val="Heading4"/>
      </w:pPr>
      <w:r>
        <w:t xml:space="preserve">Resumo</w:t>
      </w:r>
    </w:p>
    <w:tbl>
      <w:tblPr>
        <w:tblStyle w:val="Table"/>
        <w:tblW w:type="pct" w:w="5000"/>
        <w:tblLook w:firstRow="1" w:lastRow="0" w:firstColumn="0" w:lastColumn="0" w:noHBand="0" w:noVBand="0" w:val="0020"/>
        <w:jc w:val="start"/>
      </w:tblPr>
      <w:tblGrid>
        <w:gridCol w:w="440"/>
        <w:gridCol w:w="3520"/>
        <w:gridCol w:w="2640"/>
        <w:gridCol w:w="1320"/>
      </w:tblGrid>
      <w:tr>
        <w:trPr>
          <w:tblHeader w:val="true"/>
        </w:trPr>
        <w:tc>
          <w:tcPr/>
          <w:p>
            <w:pPr>
              <w:pStyle w:val="Compact"/>
              <w:jc w:val="left"/>
            </w:pPr>
            <w:r>
              <w:t xml:space="preserve">#</w:t>
            </w:r>
          </w:p>
        </w:tc>
        <w:tc>
          <w:tcPr/>
          <w:p>
            <w:pPr>
              <w:pStyle w:val="Compact"/>
              <w:jc w:val="left"/>
            </w:pPr>
            <w:r>
              <w:t xml:space="preserve">Ponto</w:t>
            </w:r>
          </w:p>
        </w:tc>
        <w:tc>
          <w:tcPr/>
          <w:p>
            <w:pPr>
              <w:pStyle w:val="Compact"/>
              <w:jc w:val="left"/>
            </w:pPr>
            <w:r>
              <w:t xml:space="preserve">Tipo</w:t>
            </w:r>
          </w:p>
        </w:tc>
        <w:tc>
          <w:tcPr/>
          <w:p>
            <w:pPr>
              <w:pStyle w:val="Compact"/>
              <w:jc w:val="left"/>
            </w:pPr>
            <w:r>
              <w:t xml:space="preserve">Criticidade</w:t>
            </w:r>
          </w:p>
        </w:tc>
      </w:tr>
      <w:tr>
        <w:tc>
          <w:tcPr/>
          <w:p>
            <w:pPr>
              <w:pStyle w:val="Compact"/>
              <w:jc w:val="left"/>
            </w:pPr>
            <w:r>
              <w:t xml:space="preserve">1</w:t>
            </w:r>
          </w:p>
        </w:tc>
        <w:tc>
          <w:tcPr/>
          <w:p>
            <w:pPr>
              <w:pStyle w:val="Compact"/>
              <w:jc w:val="left"/>
            </w:pPr>
            <w:r>
              <w:t xml:space="preserve">Fórmula de cálculo</w:t>
            </w:r>
          </w:p>
        </w:tc>
        <w:tc>
          <w:tcPr/>
          <w:p>
            <w:pPr>
              <w:pStyle w:val="Compact"/>
              <w:jc w:val="left"/>
            </w:pPr>
            <w:r>
              <w:t xml:space="preserve">Ambiguidade e lacuna</w:t>
            </w:r>
          </w:p>
        </w:tc>
        <w:tc>
          <w:tcPr/>
          <w:p>
            <w:pPr>
              <w:pStyle w:val="Compact"/>
              <w:jc w:val="left"/>
            </w:pPr>
            <w:r>
              <w:t xml:space="preserve">Média</w:t>
            </w:r>
          </w:p>
        </w:tc>
      </w:tr>
      <w:tr>
        <w:tc>
          <w:tcPr/>
          <w:p>
            <w:pPr>
              <w:pStyle w:val="Compact"/>
              <w:jc w:val="left"/>
            </w:pPr>
            <w:r>
              <w:t xml:space="preserve">2</w:t>
            </w:r>
          </w:p>
        </w:tc>
        <w:tc>
          <w:tcPr/>
          <w:p>
            <w:pPr>
              <w:pStyle w:val="Compact"/>
              <w:jc w:val="left"/>
            </w:pPr>
            <w:r>
              <w:t xml:space="preserve">Valor base (tabela mensal)</w:t>
            </w:r>
          </w:p>
        </w:tc>
        <w:tc>
          <w:tcPr/>
          <w:p>
            <w:pPr>
              <w:pStyle w:val="Compact"/>
              <w:jc w:val="left"/>
            </w:pPr>
            <w:r>
              <w:t xml:space="preserve">Lacuna</w:t>
            </w:r>
          </w:p>
        </w:tc>
        <w:tc>
          <w:tcPr/>
          <w:p>
            <w:pPr>
              <w:pStyle w:val="Compact"/>
              <w:jc w:val="left"/>
            </w:pPr>
            <w:r>
              <w:t xml:space="preserve">Média</w:t>
            </w:r>
          </w:p>
        </w:tc>
      </w:tr>
      <w:tr>
        <w:tc>
          <w:tcPr/>
          <w:p>
            <w:pPr>
              <w:pStyle w:val="Compact"/>
              <w:jc w:val="left"/>
            </w:pPr>
            <w:r>
              <w:t xml:space="preserve">3</w:t>
            </w:r>
          </w:p>
        </w:tc>
        <w:tc>
          <w:tcPr/>
          <w:p>
            <w:pPr>
              <w:pStyle w:val="Compact"/>
              <w:jc w:val="left"/>
            </w:pPr>
            <w:r>
              <w:t xml:space="preserve">Multiplicadores regionais</w:t>
            </w:r>
          </w:p>
        </w:tc>
        <w:tc>
          <w:tcPr/>
          <w:p>
            <w:pPr>
              <w:pStyle w:val="Compact"/>
              <w:jc w:val="left"/>
            </w:pPr>
            <w:r>
              <w:t xml:space="preserve">Conflito potencial e ambiguidade</w:t>
            </w:r>
          </w:p>
        </w:tc>
        <w:tc>
          <w:tcPr/>
          <w:p>
            <w:pPr>
              <w:pStyle w:val="Compact"/>
              <w:jc w:val="left"/>
            </w:pPr>
            <w:r>
              <w:t xml:space="preserve">Alta</w:t>
            </w:r>
          </w:p>
        </w:tc>
      </w:tr>
      <w:tr>
        <w:tc>
          <w:tcPr/>
          <w:p>
            <w:pPr>
              <w:pStyle w:val="Compact"/>
              <w:jc w:val="left"/>
            </w:pPr>
            <w:r>
              <w:t xml:space="preserve">4</w:t>
            </w:r>
          </w:p>
        </w:tc>
        <w:tc>
          <w:tcPr/>
          <w:p>
            <w:pPr>
              <w:pStyle w:val="Compact"/>
              <w:jc w:val="left"/>
            </w:pPr>
            <w:r>
              <w:t xml:space="preserve">Limite de 500 kg e faixas de peso</w:t>
            </w:r>
          </w:p>
        </w:tc>
        <w:tc>
          <w:tcPr/>
          <w:p>
            <w:pPr>
              <w:pStyle w:val="Compact"/>
              <w:jc w:val="left"/>
            </w:pPr>
            <w:r>
              <w:t xml:space="preserve">Inconsistência interna</w:t>
            </w:r>
          </w:p>
        </w:tc>
        <w:tc>
          <w:tcPr/>
          <w:p>
            <w:pPr>
              <w:pStyle w:val="Compact"/>
              <w:jc w:val="left"/>
            </w:pPr>
            <w:r>
              <w:t xml:space="preserve">Média</w:t>
            </w:r>
          </w:p>
        </w:tc>
      </w:tr>
      <w:tr>
        <w:tc>
          <w:tcPr/>
          <w:p>
            <w:pPr>
              <w:pStyle w:val="Compact"/>
              <w:jc w:val="left"/>
            </w:pPr>
            <w:r>
              <w:t xml:space="preserve">5</w:t>
            </w:r>
          </w:p>
        </w:tc>
        <w:tc>
          <w:tcPr/>
          <w:p>
            <w:pPr>
              <w:pStyle w:val="Compact"/>
              <w:jc w:val="left"/>
            </w:pPr>
            <w:r>
              <w:t xml:space="preserve">Peso real ou cubado</w:t>
            </w:r>
          </w:p>
        </w:tc>
        <w:tc>
          <w:tcPr/>
          <w:p>
            <w:pPr>
              <w:pStyle w:val="Compact"/>
              <w:jc w:val="left"/>
            </w:pPr>
            <w:r>
              <w:t xml:space="preserve">Lacuna</w:t>
            </w:r>
          </w:p>
        </w:tc>
        <w:tc>
          <w:tcPr/>
          <w:p>
            <w:pPr>
              <w:pStyle w:val="Compact"/>
              <w:jc w:val="left"/>
            </w:pPr>
            <w:r>
              <w:t xml:space="preserve">Média</w:t>
            </w:r>
          </w:p>
        </w:tc>
      </w:tr>
      <w:tr>
        <w:tc>
          <w:tcPr/>
          <w:p>
            <w:pPr>
              <w:pStyle w:val="Compact"/>
              <w:jc w:val="left"/>
            </w:pPr>
            <w:r>
              <w:t xml:space="preserve">6</w:t>
            </w:r>
          </w:p>
        </w:tc>
        <w:tc>
          <w:tcPr/>
          <w:p>
            <w:pPr>
              <w:pStyle w:val="Compact"/>
              <w:jc w:val="left"/>
            </w:pPr>
            <w:r>
              <w:t xml:space="preserve">Prazo de entrega</w:t>
            </w:r>
          </w:p>
        </w:tc>
        <w:tc>
          <w:tcPr/>
          <w:p>
            <w:pPr>
              <w:pStyle w:val="Compact"/>
              <w:jc w:val="left"/>
            </w:pPr>
            <w:r>
              <w:t xml:space="preserve">Lacuna e ambiguidade</w:t>
            </w:r>
          </w:p>
        </w:tc>
        <w:tc>
          <w:tcPr/>
          <w:p>
            <w:pPr>
              <w:pStyle w:val="Compact"/>
              <w:jc w:val="left"/>
            </w:pPr>
            <w:r>
              <w:t xml:space="preserve">Média</w:t>
            </w:r>
          </w:p>
        </w:tc>
      </w:tr>
      <w:tr>
        <w:tc>
          <w:tcPr/>
          <w:p>
            <w:pPr>
              <w:pStyle w:val="Compact"/>
              <w:jc w:val="left"/>
            </w:pPr>
            <w:r>
              <w:t xml:space="preserve">7</w:t>
            </w:r>
          </w:p>
        </w:tc>
        <w:tc>
          <w:tcPr/>
          <w:p>
            <w:pPr>
              <w:pStyle w:val="Compact"/>
              <w:jc w:val="left"/>
            </w:pPr>
            <w:r>
              <w:t xml:space="preserve">Descontos por volume</w:t>
            </w:r>
          </w:p>
        </w:tc>
        <w:tc>
          <w:tcPr/>
          <w:p>
            <w:pPr>
              <w:pStyle w:val="Compact"/>
              <w:jc w:val="left"/>
            </w:pPr>
            <w:r>
              <w:t xml:space="preserve">Contradição</w:t>
            </w:r>
          </w:p>
        </w:tc>
        <w:tc>
          <w:tcPr/>
          <w:p>
            <w:pPr>
              <w:pStyle w:val="Compact"/>
              <w:jc w:val="left"/>
            </w:pPr>
            <w:r>
              <w:t xml:space="preserve">Alta</w:t>
            </w:r>
          </w:p>
        </w:tc>
      </w:tr>
      <w:tr>
        <w:tc>
          <w:tcPr/>
          <w:p>
            <w:pPr>
              <w:pStyle w:val="Compact"/>
              <w:jc w:val="left"/>
            </w:pPr>
            <w:r>
              <w:t xml:space="preserve">8</w:t>
            </w:r>
          </w:p>
        </w:tc>
        <w:tc>
          <w:tcPr/>
          <w:p>
            <w:pPr>
              <w:pStyle w:val="Compact"/>
              <w:jc w:val="left"/>
            </w:pPr>
            <w:r>
              <w:t xml:space="preserve">Cargas perigosas</w:t>
            </w:r>
          </w:p>
        </w:tc>
        <w:tc>
          <w:tcPr/>
          <w:p>
            <w:pPr>
              <w:pStyle w:val="Compact"/>
              <w:jc w:val="left"/>
            </w:pPr>
            <w:r>
              <w:t xml:space="preserve">Lacuna e regra informal</w:t>
            </w:r>
          </w:p>
        </w:tc>
        <w:tc>
          <w:tcPr/>
          <w:p>
            <w:pPr>
              <w:pStyle w:val="Compact"/>
              <w:jc w:val="left"/>
            </w:pPr>
            <w:r>
              <w:t xml:space="preserve">Alta</w:t>
            </w:r>
          </w:p>
        </w:tc>
      </w:tr>
      <w:tr>
        <w:tc>
          <w:tcPr/>
          <w:p>
            <w:pPr>
              <w:pStyle w:val="Compact"/>
              <w:jc w:val="left"/>
            </w:pPr>
            <w:r>
              <w:t xml:space="preserve">9</w:t>
            </w:r>
          </w:p>
        </w:tc>
        <w:tc>
          <w:tcPr/>
          <w:p>
            <w:pPr>
              <w:pStyle w:val="Compact"/>
              <w:jc w:val="left"/>
            </w:pPr>
            <w:r>
              <w:t xml:space="preserve">Aprovação acima de 5.000 kg</w:t>
            </w:r>
          </w:p>
        </w:tc>
        <w:tc>
          <w:tcPr/>
          <w:p>
            <w:pPr>
              <w:pStyle w:val="Compact"/>
              <w:jc w:val="left"/>
            </w:pPr>
            <w:r>
              <w:t xml:space="preserve">Lacuna de processo</w:t>
            </w:r>
          </w:p>
        </w:tc>
        <w:tc>
          <w:tcPr/>
          <w:p>
            <w:pPr>
              <w:pStyle w:val="Compact"/>
              <w:jc w:val="left"/>
            </w:pPr>
            <w:r>
              <w:t xml:space="preserve">Média</w:t>
            </w:r>
          </w:p>
        </w:tc>
      </w:tr>
      <w:tr>
        <w:tc>
          <w:tcPr/>
          <w:p>
            <w:pPr>
              <w:pStyle w:val="Compact"/>
              <w:jc w:val="left"/>
            </w:pPr>
            <w:r>
              <w:t xml:space="preserve">10</w:t>
            </w:r>
          </w:p>
        </w:tc>
        <w:tc>
          <w:tcPr/>
          <w:p>
            <w:pPr>
              <w:pStyle w:val="Compact"/>
              <w:jc w:val="left"/>
            </w:pPr>
            <w:r>
              <w:t xml:space="preserve">Combinação de exceções</w:t>
            </w:r>
          </w:p>
        </w:tc>
        <w:tc>
          <w:tcPr/>
          <w:p>
            <w:pPr>
              <w:pStyle w:val="Compact"/>
              <w:jc w:val="left"/>
            </w:pPr>
            <w:r>
              <w:t xml:space="preserve">Ambiguidade</w:t>
            </w:r>
          </w:p>
        </w:tc>
        <w:tc>
          <w:tcPr/>
          <w:p>
            <w:pPr>
              <w:pStyle w:val="Compact"/>
              <w:jc w:val="left"/>
            </w:pPr>
            <w:r>
              <w:t xml:space="preserve">Média</w:t>
            </w:r>
          </w:p>
        </w:tc>
      </w:tr>
      <w:tr>
        <w:tc>
          <w:tcPr/>
          <w:p>
            <w:pPr>
              <w:pStyle w:val="Compact"/>
              <w:jc w:val="left"/>
            </w:pPr>
            <w:r>
              <w:t xml:space="preserve">11</w:t>
            </w:r>
          </w:p>
        </w:tc>
        <w:tc>
          <w:tcPr/>
          <w:p>
            <w:pPr>
              <w:pStyle w:val="Compact"/>
              <w:jc w:val="left"/>
            </w:pPr>
            <w:r>
              <w:t xml:space="preserve">Vigência e versionamento</w:t>
            </w:r>
          </w:p>
        </w:tc>
        <w:tc>
          <w:tcPr/>
          <w:p>
            <w:pPr>
              <w:pStyle w:val="Compact"/>
              <w:jc w:val="left"/>
            </w:pPr>
            <w:r>
              <w:t xml:space="preserve">Ambiguidade e regra informal</w:t>
            </w:r>
          </w:p>
        </w:tc>
        <w:tc>
          <w:tcPr/>
          <w:p>
            <w:pPr>
              <w:pStyle w:val="Compact"/>
              <w:jc w:val="left"/>
            </w:pPr>
            <w:r>
              <w:t xml:space="preserve">Alta</w:t>
            </w:r>
          </w:p>
        </w:tc>
      </w:tr>
      <w:tr>
        <w:tc>
          <w:tcPr/>
          <w:p>
            <w:pPr>
              <w:pStyle w:val="Compact"/>
              <w:jc w:val="left"/>
            </w:pPr>
            <w:r>
              <w:t xml:space="preserve">12</w:t>
            </w:r>
          </w:p>
        </w:tc>
        <w:tc>
          <w:tcPr/>
          <w:p>
            <w:pPr>
              <w:pStyle w:val="Compact"/>
              <w:jc w:val="left"/>
            </w:pPr>
            <w:r>
              <w:t xml:space="preserve">Responsabilidades</w:t>
            </w:r>
          </w:p>
        </w:tc>
        <w:tc>
          <w:tcPr/>
          <w:p>
            <w:pPr>
              <w:pStyle w:val="Compact"/>
              <w:jc w:val="left"/>
            </w:pPr>
            <w:r>
              <w:t xml:space="preserve">Lacuna</w:t>
            </w:r>
          </w:p>
        </w:tc>
        <w:tc>
          <w:tcPr/>
          <w:p>
            <w:pPr>
              <w:pStyle w:val="Compact"/>
              <w:jc w:val="left"/>
            </w:pPr>
            <w:r>
              <w:t xml:space="preserve">Média</w:t>
            </w:r>
          </w:p>
        </w:tc>
      </w:tr>
    </w:tbl>
    <w:p>
      <w:pPr>
        <w:pStyle w:val="BodyText"/>
      </w:pPr>
      <w:r>
        <w:t xml:space="preserve">Os pontos mais críticos são a vigência do próprio procedimento (ponto 11), que condiciona todos os parâmetros de cálculo, a contradição sobre o desconto automático (ponto 7) e as regras informais sobre cargas perigosas (ponto 8).</w:t>
      </w:r>
    </w:p>
    <w:p>
      <w:r>
        <w:br w:type="page"/>
      </w:r>
    </w:p>
    <w:bookmarkEnd w:id="55"/>
    <w:bookmarkEnd w:id="56"/>
    <w:bookmarkEnd w:id="57"/>
    <w:bookmarkStart w:id="77" w:name="Xeb6582c8d07da804a83ec076d345f76933b3595"/>
    <w:p>
      <w:pPr>
        <w:pStyle w:val="Heading1"/>
      </w:pPr>
      <w:r>
        <w:t xml:space="preserve">Prompt 3: Cruzamento PROC-042 v1 × FAQ-Atendimento</w:t>
      </w:r>
    </w:p>
    <w:bookmarkStart w:id="58" w:name="prompt-2"/>
    <w:p>
      <w:pPr>
        <w:pStyle w:val="Heading2"/>
      </w:pPr>
      <w:r>
        <w:t xml:space="preserve">Prompt</w:t>
      </w:r>
    </w:p>
    <w:p>
      <w:pPr>
        <w:pStyle w:val="BlockText"/>
      </w:pPr>
      <w:r>
        <w:t xml:space="preserve">Atue como Analista de Negócios e utilize como base exclusivamente:</w:t>
      </w:r>
    </w:p>
    <w:p>
      <w:pPr>
        <w:numPr>
          <w:ilvl w:val="0"/>
          <w:numId w:val="1045"/>
        </w:numPr>
        <w:pStyle w:val="Compact"/>
      </w:pPr>
      <w:r>
        <w:t xml:space="preserve">o resumo fornecido;</w:t>
      </w:r>
    </w:p>
    <w:p>
      <w:pPr>
        <w:numPr>
          <w:ilvl w:val="0"/>
          <w:numId w:val="1045"/>
        </w:numPr>
        <w:pStyle w:val="Compact"/>
      </w:pPr>
      <w:r>
        <w:t xml:space="preserve">FAQ-atendimento.md;</w:t>
      </w:r>
    </w:p>
    <w:p>
      <w:pPr>
        <w:numPr>
          <w:ilvl w:val="0"/>
          <w:numId w:val="1045"/>
        </w:numPr>
        <w:pStyle w:val="Compact"/>
      </w:pPr>
      <w:r>
        <w:t xml:space="preserve">PROC-042-frete-especial-v1.md.</w:t>
      </w:r>
    </w:p>
    <w:p>
      <w:pPr>
        <w:pStyle w:val="BlockText"/>
      </w:pPr>
      <w:r>
        <w:t xml:space="preserve">Considere o resumo como contexto inicial e, em seguida, valide e aprofunde os pontos diretamente nos dois arquivos.</w:t>
      </w:r>
      <w:r>
        <w:t xml:space="preserve"> </w:t>
      </w:r>
      <w:r>
        <w:t xml:space="preserve">Cruze as regras formais do PROC-042 v1 com as práticas informais descritas no FAQ, identificando:</w:t>
      </w:r>
    </w:p>
    <w:p>
      <w:pPr>
        <w:numPr>
          <w:ilvl w:val="0"/>
          <w:numId w:val="1046"/>
        </w:numPr>
        <w:pStyle w:val="Compact"/>
      </w:pPr>
      <w:r>
        <w:t xml:space="preserve">inconsistências;</w:t>
      </w:r>
    </w:p>
    <w:p>
      <w:pPr>
        <w:numPr>
          <w:ilvl w:val="0"/>
          <w:numId w:val="1046"/>
        </w:numPr>
        <w:pStyle w:val="Compact"/>
      </w:pPr>
      <w:r>
        <w:t xml:space="preserve">contradições;</w:t>
      </w:r>
    </w:p>
    <w:p>
      <w:pPr>
        <w:numPr>
          <w:ilvl w:val="0"/>
          <w:numId w:val="1046"/>
        </w:numPr>
        <w:pStyle w:val="Compact"/>
      </w:pPr>
      <w:r>
        <w:t xml:space="preserve">ambiguidades;</w:t>
      </w:r>
    </w:p>
    <w:p>
      <w:pPr>
        <w:numPr>
          <w:ilvl w:val="0"/>
          <w:numId w:val="1046"/>
        </w:numPr>
        <w:pStyle w:val="Compact"/>
      </w:pPr>
      <w:r>
        <w:t xml:space="preserve">regras informais não previstas no procedimento;</w:t>
      </w:r>
    </w:p>
    <w:p>
      <w:pPr>
        <w:numPr>
          <w:ilvl w:val="0"/>
          <w:numId w:val="1046"/>
        </w:numPr>
        <w:pStyle w:val="Compact"/>
      </w:pPr>
      <w:r>
        <w:t xml:space="preserve">lacunas de processo;</w:t>
      </w:r>
    </w:p>
    <w:p>
      <w:pPr>
        <w:numPr>
          <w:ilvl w:val="0"/>
          <w:numId w:val="1046"/>
        </w:numPr>
        <w:pStyle w:val="Compact"/>
      </w:pPr>
      <w:r>
        <w:t xml:space="preserve">possíveis riscos operacionais ou de atendimento.</w:t>
      </w:r>
    </w:p>
    <w:p>
      <w:pPr>
        <w:pStyle w:val="BlockText"/>
      </w:pPr>
      <w:r>
        <w:t xml:space="preserve">Para cada ponto, informe:</w:t>
      </w:r>
    </w:p>
    <w:p>
      <w:pPr>
        <w:numPr>
          <w:ilvl w:val="0"/>
          <w:numId w:val="1047"/>
        </w:numPr>
        <w:pStyle w:val="Compact"/>
      </w:pPr>
      <w:r>
        <w:t xml:space="preserve">Tema;</w:t>
      </w:r>
    </w:p>
    <w:p>
      <w:pPr>
        <w:numPr>
          <w:ilvl w:val="0"/>
          <w:numId w:val="1047"/>
        </w:numPr>
        <w:pStyle w:val="Compact"/>
      </w:pPr>
      <w:r>
        <w:t xml:space="preserve">Regra formal do PROC-042 v1;</w:t>
      </w:r>
    </w:p>
    <w:p>
      <w:pPr>
        <w:numPr>
          <w:ilvl w:val="0"/>
          <w:numId w:val="1047"/>
        </w:numPr>
        <w:pStyle w:val="Compact"/>
      </w:pPr>
      <w:r>
        <w:t xml:space="preserve">Prática ou orientação encontrada no FAQ;</w:t>
      </w:r>
    </w:p>
    <w:p>
      <w:pPr>
        <w:numPr>
          <w:ilvl w:val="0"/>
          <w:numId w:val="1047"/>
        </w:numPr>
        <w:pStyle w:val="Compact"/>
      </w:pPr>
      <w:r>
        <w:t xml:space="preserve">Relação entre elas: confirma, contradiz, complementa ou gera ambiguidade;</w:t>
      </w:r>
    </w:p>
    <w:p>
      <w:pPr>
        <w:numPr>
          <w:ilvl w:val="0"/>
          <w:numId w:val="1047"/>
        </w:numPr>
        <w:pStyle w:val="Compact"/>
      </w:pPr>
      <w:r>
        <w:t xml:space="preserve">Impacto potencial;</w:t>
      </w:r>
    </w:p>
    <w:p>
      <w:pPr>
        <w:numPr>
          <w:ilvl w:val="0"/>
          <w:numId w:val="1047"/>
        </w:numPr>
        <w:pStyle w:val="Compact"/>
      </w:pPr>
      <w:r>
        <w:t xml:space="preserve">Criticidade: Baixa, Média ou Alta;</w:t>
      </w:r>
    </w:p>
    <w:p>
      <w:pPr>
        <w:numPr>
          <w:ilvl w:val="0"/>
          <w:numId w:val="1047"/>
        </w:numPr>
        <w:pStyle w:val="Compact"/>
      </w:pPr>
      <w:r>
        <w:t xml:space="preserve">Pergunta que precisa ser validada com Negócio, Operações ou Comercial.</w:t>
      </w:r>
    </w:p>
    <w:p>
      <w:pPr>
        <w:pStyle w:val="BlockText"/>
      </w:pPr>
      <w:r>
        <w:t xml:space="preserve">Não utilize informações externas. Não invente regras e não trate o resumo como fonte superior aos arquivos.</w:t>
      </w:r>
    </w:p>
    <w:bookmarkEnd w:id="58"/>
    <w:bookmarkStart w:id="76" w:name="output-2"/>
    <w:p>
      <w:pPr>
        <w:pStyle w:val="Heading2"/>
      </w:pPr>
      <w:r>
        <w:t xml:space="preserve">Output</w:t>
      </w:r>
    </w:p>
    <w:p>
      <w:pPr>
        <w:pStyle w:val="FirstParagraph"/>
      </w:pPr>
      <w:r>
        <w:t xml:space="preserve">Antes do cruzamento, conferi o resumo inicial contra os dois arquivos. Os arquivos prevalecem sempre que há diferença.</w:t>
      </w:r>
    </w:p>
    <w:bookmarkStart w:id="59" w:name="validação-do-resumo-contra-os-arquivos"/>
    <w:p>
      <w:pPr>
        <w:pStyle w:val="Heading3"/>
      </w:pPr>
      <w:r>
        <w:t xml:space="preserve">Validação do resumo contra os arquivos</w:t>
      </w:r>
    </w:p>
    <w:p>
      <w:pPr>
        <w:pStyle w:val="FirstParagraph"/>
      </w:pPr>
      <w:r>
        <w:rPr>
          <w:bCs/>
          <w:b/>
        </w:rPr>
        <w:t xml:space="preserve">PROC-042 v1.</w:t>
      </w:r>
      <w:r>
        <w:t xml:space="preserve"> </w:t>
      </w:r>
      <w:r>
        <w:t xml:space="preserve">O resumo está correto no que diz: o frete especial vale para cargas acima de 500 kg, o cálculo usa valor base, multiplicador regional e fator de peso, o prazo recebe +2 dias úteis, cargas acima de 5.000 kg exigem aprovação e cargas perigosas seguem procedimento específico. Mas o arquivo traz detalhes que o resumo omitia:</w:t>
      </w:r>
    </w:p>
    <w:p>
      <w:pPr>
        <w:numPr>
          <w:ilvl w:val="0"/>
          <w:numId w:val="1048"/>
        </w:numPr>
        <w:pStyle w:val="Compact"/>
      </w:pPr>
      <w:r>
        <w:t xml:space="preserve">os valores dos multiplicadores e dos fatores de peso;</w:t>
      </w:r>
    </w:p>
    <w:p>
      <w:pPr>
        <w:numPr>
          <w:ilvl w:val="0"/>
          <w:numId w:val="1048"/>
        </w:numPr>
        <w:pStyle w:val="Compact"/>
      </w:pPr>
      <w:r>
        <w:t xml:space="preserve">o aprovador das cargas acima de 5.000 kg (gerente de operações regional);</w:t>
      </w:r>
    </w:p>
    <w:p>
      <w:pPr>
        <w:numPr>
          <w:ilvl w:val="0"/>
          <w:numId w:val="1048"/>
        </w:numPr>
        <w:pStyle w:val="Compact"/>
      </w:pPr>
      <w:r>
        <w:t xml:space="preserve">o nome do procedimento de cargas perigosas (PROC-043);</w:t>
      </w:r>
    </w:p>
    <w:p>
      <w:pPr>
        <w:numPr>
          <w:ilvl w:val="0"/>
          <w:numId w:val="1048"/>
        </w:numPr>
        <w:pStyle w:val="Compact"/>
      </w:pPr>
      <w:r>
        <w:t xml:space="preserve">uma regra de desconto por volume, que precisa ser negociada pelo Comercial e registrada em aditivo;</w:t>
      </w:r>
    </w:p>
    <w:p>
      <w:pPr>
        <w:numPr>
          <w:ilvl w:val="0"/>
          <w:numId w:val="1048"/>
        </w:numPr>
        <w:pStyle w:val="Compact"/>
      </w:pPr>
      <w:r>
        <w:t xml:space="preserve">a Diretoria Comercial como responsável pelo documento;</w:t>
      </w:r>
    </w:p>
    <w:p>
      <w:pPr>
        <w:numPr>
          <w:ilvl w:val="0"/>
          <w:numId w:val="1048"/>
        </w:numPr>
        <w:pStyle w:val="Compact"/>
      </w:pPr>
      <w:r>
        <w:t xml:space="preserve">a data de emissão, 03/03/2023.</w:t>
      </w:r>
    </w:p>
    <w:p>
      <w:pPr>
        <w:pStyle w:val="FirstParagraph"/>
      </w:pPr>
      <w:r>
        <w:rPr>
          <w:bCs/>
          <w:b/>
        </w:rPr>
        <w:t xml:space="preserve">FAQ.</w:t>
      </w:r>
      <w:r>
        <w:t xml:space="preserve"> </w:t>
      </w:r>
      <w:r>
        <w:t xml:space="preserve">O resumo também está correto sobre o conteúdo e sobre a falta de validação. O arquivo, porém, traz apenas 9 das 47 perguntas originais e inclui temas que o resumo não citava, como o tier</w:t>
      </w:r>
      <w:r>
        <w:t xml:space="preserve"> </w:t>
      </w:r>
      <w:r>
        <w:t xml:space="preserve">“</w:t>
      </w:r>
      <w:r>
        <w:t xml:space="preserve">Platinum</w:t>
      </w:r>
      <w:r>
        <w:t xml:space="preserve">”</w:t>
      </w:r>
      <w:r>
        <w:t xml:space="preserve"> </w:t>
      </w:r>
      <w:r>
        <w:t xml:space="preserve">e carga danificada. A análise abaixo se limita a esses 9 itens.</w:t>
      </w:r>
    </w:p>
    <w:bookmarkEnd w:id="59"/>
    <w:bookmarkStart w:id="73" w:name="cruzamento-proc-042-v1-faq"/>
    <w:p>
      <w:pPr>
        <w:pStyle w:val="Heading3"/>
      </w:pPr>
      <w:r>
        <w:t xml:space="preserve">Cruzamento PROC-042 v1 × FAQ</w:t>
      </w:r>
    </w:p>
    <w:bookmarkStart w:id="60" w:name="critério-de-aplicação-limite-de-500-kg"/>
    <w:p>
      <w:pPr>
        <w:pStyle w:val="Heading4"/>
      </w:pPr>
      <w:r>
        <w:t xml:space="preserve">1. Critério de aplicação (limite de 500 kg)</w:t>
      </w:r>
    </w:p>
    <w:p>
      <w:pPr>
        <w:numPr>
          <w:ilvl w:val="0"/>
          <w:numId w:val="1049"/>
        </w:numPr>
        <w:pStyle w:val="Compact"/>
      </w:pPr>
      <w:r>
        <w:rPr>
          <w:bCs/>
          <w:b/>
        </w:rPr>
        <w:t xml:space="preserve">Regra formal (v1):</w:t>
      </w:r>
      <w:r>
        <w:t xml:space="preserve"> </w:t>
      </w:r>
      <w:r>
        <w:t xml:space="preserve">o objetivo fala em cargas</w:t>
      </w:r>
      <w:r>
        <w:t xml:space="preserve"> </w:t>
      </w:r>
      <w:r>
        <w:t xml:space="preserve">“</w:t>
      </w:r>
      <w:r>
        <w:t xml:space="preserve">com peso acima de 500 kg</w:t>
      </w:r>
      <w:r>
        <w:t xml:space="preserve">”</w:t>
      </w:r>
      <w:r>
        <w:t xml:space="preserve">. A primeira faixa do fator de peso, porém, começa em</w:t>
      </w:r>
      <w:r>
        <w:t xml:space="preserve"> </w:t>
      </w:r>
      <w:r>
        <w:t xml:space="preserve">“</w:t>
      </w:r>
      <w:r>
        <w:t xml:space="preserve">500 kg a 1.000 kg</w:t>
      </w:r>
      <w:r>
        <w:t xml:space="preserve">”</w:t>
      </w:r>
      <w:r>
        <w:t xml:space="preserve">.</w:t>
      </w:r>
    </w:p>
    <w:p>
      <w:pPr>
        <w:numPr>
          <w:ilvl w:val="0"/>
          <w:numId w:val="1049"/>
        </w:numPr>
        <w:pStyle w:val="Compact"/>
      </w:pPr>
      <w:r>
        <w:rPr>
          <w:bCs/>
          <w:b/>
        </w:rPr>
        <w:t xml:space="preserve">FAQ (item 8):</w:t>
      </w:r>
      <w:r>
        <w:t xml:space="preserve"> </w:t>
      </w:r>
      <w:r>
        <w:t xml:space="preserve">“</w:t>
      </w:r>
      <w:r>
        <w:t xml:space="preserve">Acima de 500kg, aplica a tabela de multiplicadores por região.</w:t>
      </w:r>
      <w:r>
        <w:t xml:space="preserve">”</w:t>
      </w:r>
    </w:p>
    <w:p>
      <w:pPr>
        <w:numPr>
          <w:ilvl w:val="0"/>
          <w:numId w:val="1049"/>
        </w:numPr>
        <w:pStyle w:val="Compact"/>
      </w:pPr>
      <w:r>
        <w:rPr>
          <w:bCs/>
          <w:b/>
        </w:rPr>
        <w:t xml:space="preserve">Relação:</w:t>
      </w:r>
      <w:r>
        <w:t xml:space="preserve"> </w:t>
      </w:r>
      <w:r>
        <w:t xml:space="preserve">confirma o limite, mas herda a ambiguidade interna da v1.</w:t>
      </w:r>
    </w:p>
    <w:p>
      <w:pPr>
        <w:numPr>
          <w:ilvl w:val="0"/>
          <w:numId w:val="1049"/>
        </w:numPr>
        <w:pStyle w:val="Compact"/>
      </w:pPr>
      <w:r>
        <w:rPr>
          <w:bCs/>
          <w:b/>
        </w:rPr>
        <w:t xml:space="preserve">Impacto:</w:t>
      </w:r>
      <w:r>
        <w:t xml:space="preserve"> </w:t>
      </w:r>
      <w:r>
        <w:t xml:space="preserve">uma carga de exatamente 500 kg pode ser tratada como frete comum por um atendente e como frete especial por outro.</w:t>
      </w:r>
    </w:p>
    <w:p>
      <w:pPr>
        <w:numPr>
          <w:ilvl w:val="0"/>
          <w:numId w:val="1049"/>
        </w:numPr>
        <w:pStyle w:val="Compact"/>
      </w:pPr>
      <w:r>
        <w:rPr>
          <w:bCs/>
          <w:b/>
        </w:rPr>
        <w:t xml:space="preserve">Criticidade:</w:t>
      </w:r>
      <w:r>
        <w:t xml:space="preserve"> </w:t>
      </w:r>
      <w:r>
        <w:t xml:space="preserve">Média.</w:t>
      </w:r>
    </w:p>
    <w:p>
      <w:pPr>
        <w:numPr>
          <w:ilvl w:val="0"/>
          <w:numId w:val="1049"/>
        </w:numPr>
        <w:pStyle w:val="Compact"/>
      </w:pPr>
      <w:r>
        <w:rPr>
          <w:bCs/>
          <w:b/>
        </w:rPr>
        <w:t xml:space="preserve">Pergunta (Comercial):</w:t>
      </w:r>
      <w:r>
        <w:t xml:space="preserve"> </w:t>
      </w:r>
      <w:r>
        <w:t xml:space="preserve">uma carga de exatamente 500 kg é frete especial?</w:t>
      </w:r>
    </w:p>
    <w:bookmarkEnd w:id="60"/>
    <w:bookmarkStart w:id="61" w:name="composição-do-cálculo"/>
    <w:p>
      <w:pPr>
        <w:pStyle w:val="Heading4"/>
      </w:pPr>
      <w:r>
        <w:t xml:space="preserve">2. Composição do cálculo</w:t>
      </w:r>
    </w:p>
    <w:p>
      <w:pPr>
        <w:numPr>
          <w:ilvl w:val="0"/>
          <w:numId w:val="1050"/>
        </w:numPr>
        <w:pStyle w:val="Compact"/>
      </w:pPr>
      <w:r>
        <w:rPr>
          <w:bCs/>
          <w:b/>
        </w:rPr>
        <w:t xml:space="preserve">Regra formal (v1):</w:t>
      </w:r>
      <w:r>
        <w:t xml:space="preserve"> </w:t>
      </w:r>
      <w:r>
        <w:t xml:space="preserve">valor do frete = valor base × multiplicador regional × fator de peso, com três faixas de fator (1.0, 1.2 e 1.5).</w:t>
      </w:r>
    </w:p>
    <w:p>
      <w:pPr>
        <w:numPr>
          <w:ilvl w:val="0"/>
          <w:numId w:val="1050"/>
        </w:numPr>
        <w:pStyle w:val="Compact"/>
      </w:pPr>
      <w:r>
        <w:rPr>
          <w:bCs/>
          <w:b/>
        </w:rPr>
        <w:t xml:space="preserve">FAQ (item 8):</w:t>
      </w:r>
      <w:r>
        <w:t xml:space="preserve"> </w:t>
      </w:r>
      <w:r>
        <w:t xml:space="preserve">menciona apenas a</w:t>
      </w:r>
      <w:r>
        <w:t xml:space="preserve"> </w:t>
      </w:r>
      <w:r>
        <w:t xml:space="preserve">“</w:t>
      </w:r>
      <w:r>
        <w:t xml:space="preserve">tabela de multiplicadores por região</w:t>
      </w:r>
      <w:r>
        <w:t xml:space="preserve">”</w:t>
      </w:r>
      <w:r>
        <w:t xml:space="preserve">. Não cita o valor base nem o fator de peso.</w:t>
      </w:r>
    </w:p>
    <w:p>
      <w:pPr>
        <w:numPr>
          <w:ilvl w:val="0"/>
          <w:numId w:val="1050"/>
        </w:numPr>
        <w:pStyle w:val="Compact"/>
      </w:pPr>
      <w:r>
        <w:rPr>
          <w:bCs/>
          <w:b/>
        </w:rPr>
        <w:t xml:space="preserve">Relação:</w:t>
      </w:r>
      <w:r>
        <w:t xml:space="preserve"> </w:t>
      </w:r>
      <w:r>
        <w:t xml:space="preserve">gera ambiguidade. O FAQ descreve o cálculo de forma incompleta.</w:t>
      </w:r>
    </w:p>
    <w:p>
      <w:pPr>
        <w:numPr>
          <w:ilvl w:val="0"/>
          <w:numId w:val="1050"/>
        </w:numPr>
        <w:pStyle w:val="Compact"/>
      </w:pPr>
      <w:r>
        <w:rPr>
          <w:bCs/>
          <w:b/>
        </w:rPr>
        <w:t xml:space="preserve">Impacto:</w:t>
      </w:r>
      <w:r>
        <w:t xml:space="preserve"> </w:t>
      </w:r>
      <w:r>
        <w:t xml:space="preserve">o atendente pode cotar o frete aplicando só o multiplicador regional. Para cargas acima de 1.000 kg, isso subestima o valor em 20% a 50%.</w:t>
      </w:r>
    </w:p>
    <w:p>
      <w:pPr>
        <w:numPr>
          <w:ilvl w:val="0"/>
          <w:numId w:val="1050"/>
        </w:numPr>
        <w:pStyle w:val="Compact"/>
      </w:pPr>
      <w:r>
        <w:rPr>
          <w:bCs/>
          <w:b/>
        </w:rPr>
        <w:t xml:space="preserve">Criticidade:</w:t>
      </w:r>
      <w:r>
        <w:t xml:space="preserve"> </w:t>
      </w:r>
      <w:r>
        <w:t xml:space="preserve">Média.</w:t>
      </w:r>
    </w:p>
    <w:p>
      <w:pPr>
        <w:numPr>
          <w:ilvl w:val="0"/>
          <w:numId w:val="1050"/>
        </w:numPr>
        <w:pStyle w:val="Compact"/>
      </w:pPr>
      <w:r>
        <w:rPr>
          <w:bCs/>
          <w:b/>
        </w:rPr>
        <w:t xml:space="preserve">Pergunta (Comercial e Operações):</w:t>
      </w:r>
      <w:r>
        <w:t xml:space="preserve"> </w:t>
      </w:r>
      <w:r>
        <w:t xml:space="preserve">o atendimento faz a cotação manualmente ou usa um sistema? Se for manual, o FAQ deve ser corrigido para refletir a fórmula completa?</w:t>
      </w:r>
    </w:p>
    <w:bookmarkEnd w:id="61"/>
    <w:bookmarkStart w:id="62" w:name="escolha-da-versão-e-da-tabela-aplicável"/>
    <w:p>
      <w:pPr>
        <w:pStyle w:val="Heading4"/>
      </w:pPr>
      <w:r>
        <w:t xml:space="preserve">3. Escolha da versão e da tabela aplicável</w:t>
      </w:r>
    </w:p>
    <w:p>
      <w:pPr>
        <w:numPr>
          <w:ilvl w:val="0"/>
          <w:numId w:val="1051"/>
        </w:numPr>
        <w:pStyle w:val="Compact"/>
      </w:pPr>
      <w:r>
        <w:rPr>
          <w:bCs/>
          <w:b/>
        </w:rPr>
        <w:t xml:space="preserve">Regra formal (v1):</w:t>
      </w:r>
      <w:r>
        <w:t xml:space="preserve"> </w:t>
      </w:r>
      <w:r>
        <w:t xml:space="preserve">o documento declara que não tem indicação formal de vigência ou obsolescência. Também menciona coexistir com uma</w:t>
      </w:r>
      <w:r>
        <w:t xml:space="preserve"> </w:t>
      </w:r>
      <w:r>
        <w:t xml:space="preserve">“</w:t>
      </w:r>
      <w:r>
        <w:t xml:space="preserve">PROC-042-v2</w:t>
      </w:r>
      <w:r>
        <w:t xml:space="preserve">”</w:t>
      </w:r>
      <w:r>
        <w:t xml:space="preserve">, que não faz parte da base analisada. Não define nenhum critério de escolha entre versões.</w:t>
      </w:r>
    </w:p>
    <w:p>
      <w:pPr>
        <w:numPr>
          <w:ilvl w:val="0"/>
          <w:numId w:val="1051"/>
        </w:numPr>
        <w:pStyle w:val="Compact"/>
      </w:pPr>
      <w:r>
        <w:rPr>
          <w:bCs/>
          <w:b/>
        </w:rPr>
        <w:t xml:space="preserve">FAQ (item 8):</w:t>
      </w:r>
      <w:r>
        <w:t xml:space="preserve"> </w:t>
      </w:r>
      <w:r>
        <w:t xml:space="preserve">“</w:t>
      </w:r>
      <w:r>
        <w:t xml:space="preserve">na dúvida, use a mais recente (v2), mas se o cliente reclamar do valor, pode ser que o contrato dele ainda esteja na tabela antiga</w:t>
      </w:r>
      <w:r>
        <w:t xml:space="preserve">”</w:t>
      </w:r>
      <w:r>
        <w:t xml:space="preserve">. Também afirma que a versão mais recente tem multiplicadores mais altos.</w:t>
      </w:r>
    </w:p>
    <w:p>
      <w:pPr>
        <w:numPr>
          <w:ilvl w:val="0"/>
          <w:numId w:val="1051"/>
        </w:numPr>
        <w:pStyle w:val="Compact"/>
      </w:pPr>
      <w:r>
        <w:rPr>
          <w:bCs/>
          <w:b/>
        </w:rPr>
        <w:t xml:space="preserve">Relação:</w:t>
      </w:r>
      <w:r>
        <w:t xml:space="preserve"> </w:t>
      </w:r>
      <w:r>
        <w:t xml:space="preserve">complementa e gera ambiguidade. O FAQ cria dois critérios informais que não existem na v1: usar a versão mais recente por padrão e verificar o contrato apenas se o cliente reclamar. A afirmação sobre multiplicadores mais altos não pode ser verificada com os arquivos disponíveis.</w:t>
      </w:r>
    </w:p>
    <w:p>
      <w:pPr>
        <w:numPr>
          <w:ilvl w:val="0"/>
          <w:numId w:val="1051"/>
        </w:numPr>
        <w:pStyle w:val="Compact"/>
      </w:pPr>
      <w:r>
        <w:rPr>
          <w:bCs/>
          <w:b/>
        </w:rPr>
        <w:t xml:space="preserve">Impacto:</w:t>
      </w:r>
      <w:r>
        <w:t xml:space="preserve"> </w:t>
      </w:r>
      <w:r>
        <w:t xml:space="preserve">o critério é reativo. Um cliente com contrato na tabela antiga pode ser cobrado a maior sem perceber, e a correção só acontece se ele reclamar. Isso traz risco comercial e de relacionamento, e deixa a regra aplicada fora de qualquer rastro auditável.</w:t>
      </w:r>
    </w:p>
    <w:p>
      <w:pPr>
        <w:numPr>
          <w:ilvl w:val="0"/>
          <w:numId w:val="1051"/>
        </w:numPr>
        <w:pStyle w:val="Compact"/>
      </w:pPr>
      <w:r>
        <w:rPr>
          <w:bCs/>
          <w:b/>
        </w:rPr>
        <w:t xml:space="preserve">Criticidade:</w:t>
      </w:r>
      <w:r>
        <w:t xml:space="preserve"> </w:t>
      </w:r>
      <w:r>
        <w:t xml:space="preserve">Alta.</w:t>
      </w:r>
    </w:p>
    <w:p>
      <w:pPr>
        <w:numPr>
          <w:ilvl w:val="0"/>
          <w:numId w:val="1051"/>
        </w:numPr>
        <w:pStyle w:val="Compact"/>
      </w:pPr>
      <w:r>
        <w:rPr>
          <w:bCs/>
          <w:b/>
        </w:rPr>
        <w:t xml:space="preserve">Pergunta (Comercial):</w:t>
      </w:r>
      <w:r>
        <w:t xml:space="preserve"> </w:t>
      </w:r>
      <w:r>
        <w:t xml:space="preserve">o que determina a tabela aplicável a cada cliente: o contrato, a data do chamado ou outro critério? A verificação do contrato deve acontecer antes da cotação, e não só após reclamação?</w:t>
      </w:r>
    </w:p>
    <w:bookmarkEnd w:id="62"/>
    <w:bookmarkStart w:id="63" w:name="desconto-por-volume-natureza-e-limite"/>
    <w:p>
      <w:pPr>
        <w:pStyle w:val="Heading4"/>
      </w:pPr>
      <w:r>
        <w:t xml:space="preserve">4. Desconto por volume: natureza e limite</w:t>
      </w:r>
    </w:p>
    <w:p>
      <w:pPr>
        <w:numPr>
          <w:ilvl w:val="0"/>
          <w:numId w:val="1052"/>
        </w:numPr>
        <w:pStyle w:val="Compact"/>
      </w:pPr>
      <w:r>
        <w:rPr>
          <w:bCs/>
          <w:b/>
        </w:rPr>
        <w:t xml:space="preserve">Regra formal (v1):</w:t>
      </w:r>
      <w:r>
        <w:t xml:space="preserve"> </w:t>
      </w:r>
      <w:r>
        <w:t xml:space="preserve">para mais de 10 fretes especiais por mês do mesmo cliente, os descontos</w:t>
      </w:r>
      <w:r>
        <w:t xml:space="preserve"> </w:t>
      </w:r>
      <w:r>
        <w:t xml:space="preserve">“</w:t>
      </w:r>
      <w:r>
        <w:t xml:space="preserve">devem ser negociados pelo Comercial e registrados em aditivo contratual</w:t>
      </w:r>
      <w:r>
        <w:t xml:space="preserve">”</w:t>
      </w:r>
      <w:r>
        <w:t xml:space="preserve">. A v1 não define percentual.</w:t>
      </w:r>
    </w:p>
    <w:p>
      <w:pPr>
        <w:numPr>
          <w:ilvl w:val="0"/>
          <w:numId w:val="1052"/>
        </w:numPr>
        <w:pStyle w:val="Compact"/>
      </w:pPr>
      <w:r>
        <w:rPr>
          <w:bCs/>
          <w:b/>
        </w:rPr>
        <w:t xml:space="preserve">FAQ (item 45):</w:t>
      </w:r>
      <w:r>
        <w:t xml:space="preserve"> </w:t>
      </w:r>
      <w:r>
        <w:t xml:space="preserve">“</w:t>
      </w:r>
      <w:r>
        <w:t xml:space="preserve">Para clientes com mais de 10 fretes especiais por mês, existe desconto automático na tabela (veja PROC-042).</w:t>
      </w:r>
      <w:r>
        <w:t xml:space="preserve">”</w:t>
      </w:r>
    </w:p>
    <w:p>
      <w:pPr>
        <w:numPr>
          <w:ilvl w:val="0"/>
          <w:numId w:val="1052"/>
        </w:numPr>
        <w:pStyle w:val="Compact"/>
      </w:pPr>
      <w:r>
        <w:rPr>
          <w:bCs/>
          <w:b/>
        </w:rPr>
        <w:t xml:space="preserve">Relação:</w:t>
      </w:r>
      <w:r>
        <w:t xml:space="preserve"> </w:t>
      </w:r>
      <w:r>
        <w:t xml:space="preserve">contradiz. O limite de volume coincide, mas a v1 exige negociação e aditivo, enquanto o FAQ afirma que o desconto é automático e cita a própria PROC-042 como fonte.</w:t>
      </w:r>
    </w:p>
    <w:p>
      <w:pPr>
        <w:numPr>
          <w:ilvl w:val="0"/>
          <w:numId w:val="1052"/>
        </w:numPr>
        <w:pStyle w:val="Compact"/>
      </w:pPr>
      <w:r>
        <w:rPr>
          <w:bCs/>
          <w:b/>
        </w:rPr>
        <w:t xml:space="preserve">Impacto:</w:t>
      </w:r>
      <w:r>
        <w:t xml:space="preserve"> </w:t>
      </w:r>
      <w:r>
        <w:t xml:space="preserve">o atendimento pode informar ao cliente que ele tem direito a um desconto automático que o procedimento formal não prevê. Isso gera expectativa indevida, disputa comercial ou aplicação de desconto sem aditivo.</w:t>
      </w:r>
    </w:p>
    <w:p>
      <w:pPr>
        <w:numPr>
          <w:ilvl w:val="0"/>
          <w:numId w:val="1052"/>
        </w:numPr>
        <w:pStyle w:val="Compact"/>
      </w:pPr>
      <w:r>
        <w:rPr>
          <w:bCs/>
          <w:b/>
        </w:rPr>
        <w:t xml:space="preserve">Criticidade:</w:t>
      </w:r>
      <w:r>
        <w:t xml:space="preserve"> </w:t>
      </w:r>
      <w:r>
        <w:t xml:space="preserve">Alta.</w:t>
      </w:r>
    </w:p>
    <w:p>
      <w:pPr>
        <w:numPr>
          <w:ilvl w:val="0"/>
          <w:numId w:val="1052"/>
        </w:numPr>
        <w:pStyle w:val="Compact"/>
      </w:pPr>
      <w:r>
        <w:rPr>
          <w:bCs/>
          <w:b/>
        </w:rPr>
        <w:t xml:space="preserve">Pergunta (Comercial):</w:t>
      </w:r>
      <w:r>
        <w:t xml:space="preserve"> </w:t>
      </w:r>
      <w:r>
        <w:t xml:space="preserve">o desconto por volume é automático ou depende de negociação e aditivo? Se for automático, onde está a tabela de percentuais?</w:t>
      </w:r>
    </w:p>
    <w:bookmarkEnd w:id="63"/>
    <w:bookmarkStart w:id="64" w:name="Xc79a005f698505b314aad2ad8d9e0f38e30f257"/>
    <w:p>
      <w:pPr>
        <w:pStyle w:val="Heading4"/>
      </w:pPr>
      <w:r>
        <w:t xml:space="preserve">5. Desconto: autonomia e fluxo de solicitação</w:t>
      </w:r>
    </w:p>
    <w:p>
      <w:pPr>
        <w:numPr>
          <w:ilvl w:val="0"/>
          <w:numId w:val="1053"/>
        </w:numPr>
        <w:pStyle w:val="Compact"/>
      </w:pPr>
      <w:r>
        <w:rPr>
          <w:bCs/>
          <w:b/>
        </w:rPr>
        <w:t xml:space="preserve">Regra formal (v1):</w:t>
      </w:r>
      <w:r>
        <w:t xml:space="preserve"> </w:t>
      </w:r>
      <w:r>
        <w:t xml:space="preserve">o desconto é atribuição do Comercial. A v1 não trata de pedidos de desconto fora do critério de volume.</w:t>
      </w:r>
    </w:p>
    <w:p>
      <w:pPr>
        <w:numPr>
          <w:ilvl w:val="0"/>
          <w:numId w:val="1053"/>
        </w:numPr>
        <w:pStyle w:val="Compact"/>
      </w:pPr>
      <w:r>
        <w:rPr>
          <w:bCs/>
          <w:b/>
        </w:rPr>
        <w:t xml:space="preserve">FAQ (item 45):</w:t>
      </w:r>
      <w:r>
        <w:t xml:space="preserve"> </w:t>
      </w:r>
      <w:r>
        <w:t xml:space="preserve">“</w:t>
      </w:r>
      <w:r>
        <w:t xml:space="preserve">Atendente não tem autonomia para dar desconto.</w:t>
      </w:r>
      <w:r>
        <w:t xml:space="preserve">”</w:t>
      </w:r>
      <w:r>
        <w:t xml:space="preserve"> </w:t>
      </w:r>
      <w:r>
        <w:t xml:space="preserve">Para outros casos, o atendente deve encaminhar ao Comercial com justificativa.</w:t>
      </w:r>
    </w:p>
    <w:p>
      <w:pPr>
        <w:numPr>
          <w:ilvl w:val="0"/>
          <w:numId w:val="1053"/>
        </w:numPr>
        <w:pStyle w:val="Compact"/>
      </w:pPr>
      <w:r>
        <w:rPr>
          <w:bCs/>
          <w:b/>
        </w:rPr>
        <w:t xml:space="preserve">Relação:</w:t>
      </w:r>
      <w:r>
        <w:t xml:space="preserve"> </w:t>
      </w:r>
      <w:r>
        <w:t xml:space="preserve">confirma a falta de autonomia do atendente e complementa com um fluxo informal para os demais casos.</w:t>
      </w:r>
    </w:p>
    <w:p>
      <w:pPr>
        <w:numPr>
          <w:ilvl w:val="0"/>
          <w:numId w:val="1053"/>
        </w:numPr>
        <w:pStyle w:val="Compact"/>
      </w:pPr>
      <w:r>
        <w:rPr>
          <w:bCs/>
          <w:b/>
        </w:rPr>
        <w:t xml:space="preserve">Impacto:</w:t>
      </w:r>
      <w:r>
        <w:t xml:space="preserve"> </w:t>
      </w:r>
      <w:r>
        <w:t xml:space="preserve">baixo. O fluxo é coerente com a v1, mas não é formal: não há canal definido, formato de justificativa nem prazo de resposta.</w:t>
      </w:r>
    </w:p>
    <w:p>
      <w:pPr>
        <w:numPr>
          <w:ilvl w:val="0"/>
          <w:numId w:val="1053"/>
        </w:numPr>
        <w:pStyle w:val="Compact"/>
      </w:pPr>
      <w:r>
        <w:rPr>
          <w:bCs/>
          <w:b/>
        </w:rPr>
        <w:t xml:space="preserve">Criticidade:</w:t>
      </w:r>
      <w:r>
        <w:t xml:space="preserve"> </w:t>
      </w:r>
      <w:r>
        <w:t xml:space="preserve">Baixa.</w:t>
      </w:r>
    </w:p>
    <w:p>
      <w:pPr>
        <w:numPr>
          <w:ilvl w:val="0"/>
          <w:numId w:val="1053"/>
        </w:numPr>
        <w:pStyle w:val="Compact"/>
      </w:pPr>
      <w:r>
        <w:rPr>
          <w:bCs/>
          <w:b/>
        </w:rPr>
        <w:t xml:space="preserve">Pergunta (Comercial):</w:t>
      </w:r>
      <w:r>
        <w:t xml:space="preserve"> </w:t>
      </w:r>
      <w:r>
        <w:t xml:space="preserve">existe canal e prazo formal para pedidos de desconto encaminhados pelo atendimento?</w:t>
      </w:r>
    </w:p>
    <w:bookmarkEnd w:id="64"/>
    <w:bookmarkStart w:id="65" w:name="cargas-perigosas-tarifa-e-autorização"/>
    <w:p>
      <w:pPr>
        <w:pStyle w:val="Heading4"/>
      </w:pPr>
      <w:r>
        <w:t xml:space="preserve">6. Cargas perigosas: tarifa e autorização</w:t>
      </w:r>
    </w:p>
    <w:p>
      <w:pPr>
        <w:numPr>
          <w:ilvl w:val="0"/>
          <w:numId w:val="1054"/>
        </w:numPr>
        <w:pStyle w:val="Compact"/>
      </w:pPr>
      <w:r>
        <w:rPr>
          <w:bCs/>
          <w:b/>
        </w:rPr>
        <w:t xml:space="preserve">Regra formal (v1):</w:t>
      </w:r>
      <w:r>
        <w:t xml:space="preserve"> </w:t>
      </w:r>
      <w:r>
        <w:t xml:space="preserve">cargas perigosas acima de 500 kg</w:t>
      </w:r>
      <w:r>
        <w:t xml:space="preserve"> </w:t>
      </w:r>
      <w:r>
        <w:t xml:space="preserve">“</w:t>
      </w:r>
      <w:r>
        <w:t xml:space="preserve">seguem tabela específica (PROC-043)</w:t>
      </w:r>
      <w:r>
        <w:t xml:space="preserve">”</w:t>
      </w:r>
      <w:r>
        <w:t xml:space="preserve">. A v1 não menciona autorização prévia.</w:t>
      </w:r>
    </w:p>
    <w:p>
      <w:pPr>
        <w:numPr>
          <w:ilvl w:val="0"/>
          <w:numId w:val="1054"/>
        </w:numPr>
        <w:pStyle w:val="Compact"/>
      </w:pPr>
      <w:r>
        <w:rPr>
          <w:bCs/>
          <w:b/>
        </w:rPr>
        <w:t xml:space="preserve">FAQ (item 32):</w:t>
      </w:r>
      <w:r>
        <w:t xml:space="preserve"> </w:t>
      </w:r>
      <w:r>
        <w:t xml:space="preserve">carga perigosa com frete expresso</w:t>
      </w:r>
      <w:r>
        <w:t xml:space="preserve"> </w:t>
      </w:r>
      <w:r>
        <w:t xml:space="preserve">“</w:t>
      </w:r>
      <w:r>
        <w:t xml:space="preserve">precisa de autorização do Compliance e a documentação ANTT tem que estar atualizada</w:t>
      </w:r>
      <w:r>
        <w:t xml:space="preserve">”</w:t>
      </w:r>
      <w:r>
        <w:t xml:space="preserve">.</w:t>
      </w:r>
    </w:p>
    <w:p>
      <w:pPr>
        <w:numPr>
          <w:ilvl w:val="0"/>
          <w:numId w:val="1054"/>
        </w:numPr>
        <w:pStyle w:val="Compact"/>
      </w:pPr>
      <w:r>
        <w:rPr>
          <w:bCs/>
          <w:b/>
        </w:rPr>
        <w:t xml:space="preserve">FAQ (item 8):</w:t>
      </w:r>
      <w:r>
        <w:t xml:space="preserve"> </w:t>
      </w:r>
      <w:r>
        <w:t xml:space="preserve">não menciona a PROC-043 ao explicar o frete especial.</w:t>
      </w:r>
    </w:p>
    <w:p>
      <w:pPr>
        <w:numPr>
          <w:ilvl w:val="0"/>
          <w:numId w:val="1054"/>
        </w:numPr>
        <w:pStyle w:val="Compact"/>
      </w:pPr>
      <w:r>
        <w:rPr>
          <w:bCs/>
          <w:b/>
        </w:rPr>
        <w:t xml:space="preserve">Relação:</w:t>
      </w:r>
      <w:r>
        <w:t xml:space="preserve"> </w:t>
      </w:r>
      <w:r>
        <w:t xml:space="preserve">complementa com regras informais não previstas. A exigência de autorização do Compliance e de documentação ANTT não aparece na v1. A PROC-043 não está entre os arquivos, então não é possível verificar se essas regras estão nela.</w:t>
      </w:r>
    </w:p>
    <w:p>
      <w:pPr>
        <w:numPr>
          <w:ilvl w:val="0"/>
          <w:numId w:val="1054"/>
        </w:numPr>
        <w:pStyle w:val="Compact"/>
      </w:pPr>
      <w:r>
        <w:rPr>
          <w:bCs/>
          <w:b/>
        </w:rPr>
        <w:t xml:space="preserve">Impacto:</w:t>
      </w:r>
      <w:r>
        <w:t xml:space="preserve"> </w:t>
      </w:r>
      <w:r>
        <w:t xml:space="preserve">há dois riscos. Pelo item 8, o atendente pode cotar carga perigosa pela tabela comum. Se a regra de autorização do item 32 for real e não estiver formalizada, o embarque pode acontecer sem autorização, com risco regulatório e de segurança.</w:t>
      </w:r>
    </w:p>
    <w:p>
      <w:pPr>
        <w:numPr>
          <w:ilvl w:val="0"/>
          <w:numId w:val="1054"/>
        </w:numPr>
        <w:pStyle w:val="Compact"/>
      </w:pPr>
      <w:r>
        <w:rPr>
          <w:bCs/>
          <w:b/>
        </w:rPr>
        <w:t xml:space="preserve">Criticidade:</w:t>
      </w:r>
      <w:r>
        <w:t xml:space="preserve"> </w:t>
      </w:r>
      <w:r>
        <w:t xml:space="preserve">Alta.</w:t>
      </w:r>
    </w:p>
    <w:p>
      <w:pPr>
        <w:numPr>
          <w:ilvl w:val="0"/>
          <w:numId w:val="1054"/>
        </w:numPr>
        <w:pStyle w:val="Compact"/>
      </w:pPr>
      <w:r>
        <w:rPr>
          <w:bCs/>
          <w:b/>
        </w:rPr>
        <w:t xml:space="preserve">Pergunta (Operações e Compliance):</w:t>
      </w:r>
      <w:r>
        <w:t xml:space="preserve"> </w:t>
      </w:r>
      <w:r>
        <w:t xml:space="preserve">a PROC-043 existe e está vigente? A autorização do Compliance e a exigência de documentação ANTT são regras oficiais? Valem só para frete expresso ou para qualquer frete de carga perigosa?</w:t>
      </w:r>
    </w:p>
    <w:bookmarkEnd w:id="65"/>
    <w:bookmarkStart w:id="66" w:name="Xd893610b54e2dd548a17dcdcaafb06a2d381b55"/>
    <w:p>
      <w:pPr>
        <w:pStyle w:val="Heading4"/>
      </w:pPr>
      <w:r>
        <w:t xml:space="preserve">7. Prazo de carga perigosa com frete expresso</w:t>
      </w:r>
    </w:p>
    <w:p>
      <w:pPr>
        <w:numPr>
          <w:ilvl w:val="0"/>
          <w:numId w:val="1055"/>
        </w:numPr>
        <w:pStyle w:val="Compact"/>
      </w:pPr>
      <w:r>
        <w:rPr>
          <w:bCs/>
          <w:b/>
        </w:rPr>
        <w:t xml:space="preserve">Regra formal (v1):</w:t>
      </w:r>
      <w:r>
        <w:t xml:space="preserve"> </w:t>
      </w:r>
      <w:r>
        <w:t xml:space="preserve">prazo = prazo padrão da rota + 2 dias úteis. A v1 não trata do tempo de autorização nem de frete expresso.</w:t>
      </w:r>
    </w:p>
    <w:p>
      <w:pPr>
        <w:numPr>
          <w:ilvl w:val="0"/>
          <w:numId w:val="1055"/>
        </w:numPr>
        <w:pStyle w:val="Compact"/>
      </w:pPr>
      <w:r>
        <w:rPr>
          <w:bCs/>
          <w:b/>
        </w:rPr>
        <w:t xml:space="preserve">FAQ (item 32):</w:t>
      </w:r>
      <w:r>
        <w:t xml:space="preserve"> </w:t>
      </w:r>
      <w:r>
        <w:t xml:space="preserve">“</w:t>
      </w:r>
      <w:r>
        <w:t xml:space="preserve">Na prática, demora uns 2 dias para conseguir a autorização, então o</w:t>
      </w:r>
      <w:r>
        <w:t xml:space="preserve"> </w:t>
      </w:r>
      <w:r>
        <w:t xml:space="preserve">‘</w:t>
      </w:r>
      <w:r>
        <w:t xml:space="preserve">expresso</w:t>
      </w:r>
      <w:r>
        <w:t xml:space="preserve">’</w:t>
      </w:r>
      <w:r>
        <w:t xml:space="preserve"> </w:t>
      </w:r>
      <w:r>
        <w:t xml:space="preserve">acaba não sendo tão expresso. Avise o cliente.</w:t>
      </w:r>
      <w:r>
        <w:t xml:space="preserve">”</w:t>
      </w:r>
    </w:p>
    <w:p>
      <w:pPr>
        <w:numPr>
          <w:ilvl w:val="0"/>
          <w:numId w:val="1055"/>
        </w:numPr>
        <w:pStyle w:val="Compact"/>
      </w:pPr>
      <w:r>
        <w:rPr>
          <w:bCs/>
          <w:b/>
        </w:rPr>
        <w:t xml:space="preserve">Relação:</w:t>
      </w:r>
      <w:r>
        <w:t xml:space="preserve"> </w:t>
      </w:r>
      <w:r>
        <w:t xml:space="preserve">gera ambiguidade. Não está claro se os 2 dias de autorização se somam aos 2 dias úteis da v1, nem se o frete expresso é compatível com o frete especial.</w:t>
      </w:r>
    </w:p>
    <w:p>
      <w:pPr>
        <w:numPr>
          <w:ilvl w:val="0"/>
          <w:numId w:val="1055"/>
        </w:numPr>
        <w:pStyle w:val="Compact"/>
      </w:pPr>
      <w:r>
        <w:rPr>
          <w:bCs/>
          <w:b/>
        </w:rPr>
        <w:t xml:space="preserve">Impacto:</w:t>
      </w:r>
      <w:r>
        <w:t xml:space="preserve"> </w:t>
      </w:r>
      <w:r>
        <w:t xml:space="preserve">o prazo informado ao cliente varia conforme o atendente, e o prazo real pode ser maior que o prometido.</w:t>
      </w:r>
    </w:p>
    <w:p>
      <w:pPr>
        <w:numPr>
          <w:ilvl w:val="0"/>
          <w:numId w:val="1055"/>
        </w:numPr>
        <w:pStyle w:val="Compact"/>
      </w:pPr>
      <w:r>
        <w:rPr>
          <w:bCs/>
          <w:b/>
        </w:rPr>
        <w:t xml:space="preserve">Criticidade:</w:t>
      </w:r>
      <w:r>
        <w:t xml:space="preserve"> </w:t>
      </w:r>
      <w:r>
        <w:t xml:space="preserve">Média.</w:t>
      </w:r>
    </w:p>
    <w:p>
      <w:pPr>
        <w:numPr>
          <w:ilvl w:val="0"/>
          <w:numId w:val="1055"/>
        </w:numPr>
        <w:pStyle w:val="Compact"/>
      </w:pPr>
      <w:r>
        <w:rPr>
          <w:bCs/>
          <w:b/>
        </w:rPr>
        <w:t xml:space="preserve">Pergunta (Operações):</w:t>
      </w:r>
      <w:r>
        <w:t xml:space="preserve"> </w:t>
      </w:r>
      <w:r>
        <w:t xml:space="preserve">o tempo de autorização entra no prazo de entrega informado ao cliente? O frete expresso se aplica a cargas acima de 500 kg?</w:t>
      </w:r>
    </w:p>
    <w:bookmarkEnd w:id="66"/>
    <w:bookmarkStart w:id="67" w:name="Xcf85c35ed4362fdfd581d83fb85c4d4e711304c"/>
    <w:p>
      <w:pPr>
        <w:pStyle w:val="Heading4"/>
      </w:pPr>
      <w:r>
        <w:t xml:space="preserve">8. Prazo de frete especial e avaliação de atraso</w:t>
      </w:r>
    </w:p>
    <w:p>
      <w:pPr>
        <w:numPr>
          <w:ilvl w:val="0"/>
          <w:numId w:val="1056"/>
        </w:numPr>
        <w:pStyle w:val="Compact"/>
      </w:pPr>
      <w:r>
        <w:rPr>
          <w:bCs/>
          <w:b/>
        </w:rPr>
        <w:t xml:space="preserve">Regra formal (v1):</w:t>
      </w:r>
      <w:r>
        <w:t xml:space="preserve"> </w:t>
      </w:r>
      <w:r>
        <w:t xml:space="preserve">prazo =</w:t>
      </w:r>
      <w:r>
        <w:t xml:space="preserve"> </w:t>
      </w:r>
      <w:r>
        <w:t xml:space="preserve">“</w:t>
      </w:r>
      <w:r>
        <w:t xml:space="preserve">prazo padrão da rota</w:t>
      </w:r>
      <w:r>
        <w:t xml:space="preserve">”</w:t>
      </w:r>
      <w:r>
        <w:t xml:space="preserve"> </w:t>
      </w:r>
      <w:r>
        <w:t xml:space="preserve">+ 2 dias úteis. A v1 não define qual é o prazo padrão de cada rota.</w:t>
      </w:r>
    </w:p>
    <w:p>
      <w:pPr>
        <w:numPr>
          <w:ilvl w:val="0"/>
          <w:numId w:val="1056"/>
        </w:numPr>
        <w:pStyle w:val="Compact"/>
      </w:pPr>
      <w:r>
        <w:rPr>
          <w:bCs/>
          <w:b/>
        </w:rPr>
        <w:t xml:space="preserve">FAQ (item 27):</w:t>
      </w:r>
      <w:r>
        <w:t xml:space="preserve"> </w:t>
      </w:r>
      <w:r>
        <w:t xml:space="preserve">“</w:t>
      </w:r>
      <w:r>
        <w:t xml:space="preserve">Rotas para o Norte podem levar até 10 dias úteis. Para Sul/Sudeste, mais de 3 dias parado é estranho.</w:t>
      </w:r>
      <w:r>
        <w:t xml:space="preserve">”</w:t>
      </w:r>
      <w:r>
        <w:t xml:space="preserve"> </w:t>
      </w:r>
      <w:r>
        <w:t xml:space="preserve">O FAQ não menciona os +2 dias do frete especial.</w:t>
      </w:r>
    </w:p>
    <w:p>
      <w:pPr>
        <w:numPr>
          <w:ilvl w:val="0"/>
          <w:numId w:val="1056"/>
        </w:numPr>
        <w:pStyle w:val="Compact"/>
      </w:pPr>
      <w:r>
        <w:rPr>
          <w:bCs/>
          <w:b/>
        </w:rPr>
        <w:t xml:space="preserve">Relação:</w:t>
      </w:r>
      <w:r>
        <w:t xml:space="preserve"> </w:t>
      </w:r>
      <w:r>
        <w:t xml:space="preserve">gera ambiguidade. O FAQ usa referências informais de prazo por região que não existem na v1 e não diferencia frete comum de frete especial.</w:t>
      </w:r>
    </w:p>
    <w:p>
      <w:pPr>
        <w:numPr>
          <w:ilvl w:val="0"/>
          <w:numId w:val="1056"/>
        </w:numPr>
        <w:pStyle w:val="Compact"/>
      </w:pPr>
      <w:r>
        <w:rPr>
          <w:bCs/>
          <w:b/>
        </w:rPr>
        <w:t xml:space="preserve">Impacto:</w:t>
      </w:r>
      <w:r>
        <w:t xml:space="preserve"> </w:t>
      </w:r>
      <w:r>
        <w:t xml:space="preserve">o atendente pode abrir chamado de atraso para um frete especial que ainda está dentro do prazo, ou deixar de abrir quando está fora. Os prazos por região do FAQ não têm fonte formal.</w:t>
      </w:r>
    </w:p>
    <w:p>
      <w:pPr>
        <w:numPr>
          <w:ilvl w:val="0"/>
          <w:numId w:val="1056"/>
        </w:numPr>
        <w:pStyle w:val="Compact"/>
      </w:pPr>
      <w:r>
        <w:rPr>
          <w:bCs/>
          <w:b/>
        </w:rPr>
        <w:t xml:space="preserve">Criticidade:</w:t>
      </w:r>
      <w:r>
        <w:t xml:space="preserve"> </w:t>
      </w:r>
      <w:r>
        <w:t xml:space="preserve">Média.</w:t>
      </w:r>
    </w:p>
    <w:p>
      <w:pPr>
        <w:numPr>
          <w:ilvl w:val="0"/>
          <w:numId w:val="1056"/>
        </w:numPr>
        <w:pStyle w:val="Compact"/>
      </w:pPr>
      <w:r>
        <w:rPr>
          <w:bCs/>
          <w:b/>
        </w:rPr>
        <w:t xml:space="preserve">Pergunta (Operações):</w:t>
      </w:r>
      <w:r>
        <w:t xml:space="preserve"> </w:t>
      </w:r>
      <w:r>
        <w:t xml:space="preserve">onde está a tabela oficial de prazo padrão por rota? As referências do FAQ (até 10 dias úteis para o Norte, 3 dias para Sul/Sudeste) estão corretas? Elas já incluem os +2 dias do frete especial?</w:t>
      </w:r>
    </w:p>
    <w:bookmarkEnd w:id="67"/>
    <w:bookmarkStart w:id="68" w:name="X50e95f5684f194c0c7486100e667e9fee77d81c"/>
    <w:p>
      <w:pPr>
        <w:pStyle w:val="Heading4"/>
      </w:pPr>
      <w:r>
        <w:t xml:space="preserve">9. Aprovação prévia de cargas acima de 5.000 kg</w:t>
      </w:r>
    </w:p>
    <w:p>
      <w:pPr>
        <w:numPr>
          <w:ilvl w:val="0"/>
          <w:numId w:val="1057"/>
        </w:numPr>
        <w:pStyle w:val="Compact"/>
      </w:pPr>
      <w:r>
        <w:rPr>
          <w:bCs/>
          <w:b/>
        </w:rPr>
        <w:t xml:space="preserve">Regra formal (v1):</w:t>
      </w:r>
      <w:r>
        <w:t xml:space="preserve"> </w:t>
      </w:r>
      <w:r>
        <w:t xml:space="preserve">exige</w:t>
      </w:r>
      <w:r>
        <w:t xml:space="preserve"> </w:t>
      </w:r>
      <w:r>
        <w:t xml:space="preserve">“</w:t>
      </w:r>
      <w:r>
        <w:t xml:space="preserve">aprovação prévia do gerente de operações regional</w:t>
      </w:r>
      <w:r>
        <w:t xml:space="preserve">”</w:t>
      </w:r>
      <w:r>
        <w:t xml:space="preserve">.</w:t>
      </w:r>
    </w:p>
    <w:p>
      <w:pPr>
        <w:numPr>
          <w:ilvl w:val="0"/>
          <w:numId w:val="1057"/>
        </w:numPr>
        <w:pStyle w:val="Compact"/>
      </w:pPr>
      <w:r>
        <w:rPr>
          <w:bCs/>
          <w:b/>
        </w:rPr>
        <w:t xml:space="preserve">FAQ:</w:t>
      </w:r>
      <w:r>
        <w:t xml:space="preserve"> </w:t>
      </w:r>
      <w:r>
        <w:t xml:space="preserve">não aborda.</w:t>
      </w:r>
    </w:p>
    <w:p>
      <w:pPr>
        <w:numPr>
          <w:ilvl w:val="0"/>
          <w:numId w:val="1057"/>
        </w:numPr>
        <w:pStyle w:val="Compact"/>
      </w:pPr>
      <w:r>
        <w:rPr>
          <w:bCs/>
          <w:b/>
        </w:rPr>
        <w:t xml:space="preserve">Relação:</w:t>
      </w:r>
      <w:r>
        <w:t xml:space="preserve"> </w:t>
      </w:r>
      <w:r>
        <w:t xml:space="preserve">não abordado (lacuna).</w:t>
      </w:r>
    </w:p>
    <w:p>
      <w:pPr>
        <w:numPr>
          <w:ilvl w:val="0"/>
          <w:numId w:val="1057"/>
        </w:numPr>
        <w:pStyle w:val="Compact"/>
      </w:pPr>
      <w:r>
        <w:rPr>
          <w:bCs/>
          <w:b/>
        </w:rPr>
        <w:t xml:space="preserve">Impacto:</w:t>
      </w:r>
      <w:r>
        <w:t xml:space="preserve"> </w:t>
      </w:r>
      <w:r>
        <w:t xml:space="preserve">o atendimento pode confirmar embarque ou prazo sem saber que a aprovação é necessária. A v1 também não define o prazo da aprovação nem o que acontece em caso de recusa.</w:t>
      </w:r>
    </w:p>
    <w:p>
      <w:pPr>
        <w:numPr>
          <w:ilvl w:val="0"/>
          <w:numId w:val="1057"/>
        </w:numPr>
        <w:pStyle w:val="Compact"/>
      </w:pPr>
      <w:r>
        <w:rPr>
          <w:bCs/>
          <w:b/>
        </w:rPr>
        <w:t xml:space="preserve">Criticidade:</w:t>
      </w:r>
      <w:r>
        <w:t xml:space="preserve"> </w:t>
      </w:r>
      <w:r>
        <w:t xml:space="preserve">Média.</w:t>
      </w:r>
    </w:p>
    <w:p>
      <w:pPr>
        <w:numPr>
          <w:ilvl w:val="0"/>
          <w:numId w:val="1057"/>
        </w:numPr>
        <w:pStyle w:val="Compact"/>
      </w:pPr>
      <w:r>
        <w:rPr>
          <w:bCs/>
          <w:b/>
        </w:rPr>
        <w:t xml:space="preserve">Pergunta (Operações):</w:t>
      </w:r>
      <w:r>
        <w:t xml:space="preserve"> </w:t>
      </w:r>
      <w:r>
        <w:t xml:space="preserve">quem aciona o gerente regional: o atendimento ou outra área? Qual é o prazo de aprovação? Esse tempo entra no prazo informado ao cliente?</w:t>
      </w:r>
    </w:p>
    <w:bookmarkEnd w:id="68"/>
    <w:bookmarkStart w:id="69" w:name="região-usada-no-multiplicador"/>
    <w:p>
      <w:pPr>
        <w:pStyle w:val="Heading4"/>
      </w:pPr>
      <w:r>
        <w:t xml:space="preserve">10. Região usada no multiplicador</w:t>
      </w:r>
    </w:p>
    <w:p>
      <w:pPr>
        <w:numPr>
          <w:ilvl w:val="0"/>
          <w:numId w:val="1058"/>
        </w:numPr>
        <w:pStyle w:val="Compact"/>
      </w:pPr>
      <w:r>
        <w:rPr>
          <w:bCs/>
          <w:b/>
        </w:rPr>
        <w:t xml:space="preserve">Regra formal (v1):</w:t>
      </w:r>
      <w:r>
        <w:t xml:space="preserve"> </w:t>
      </w:r>
      <w:r>
        <w:t xml:space="preserve">o multiplicador é aplicado</w:t>
      </w:r>
      <w:r>
        <w:t xml:space="preserve"> </w:t>
      </w:r>
      <w:r>
        <w:t xml:space="preserve">“</w:t>
      </w:r>
      <w:r>
        <w:t xml:space="preserve">conforme a região de destino</w:t>
      </w:r>
      <w:r>
        <w:t xml:space="preserve">”</w:t>
      </w:r>
      <w:r>
        <w:t xml:space="preserve">.</w:t>
      </w:r>
    </w:p>
    <w:p>
      <w:pPr>
        <w:numPr>
          <w:ilvl w:val="0"/>
          <w:numId w:val="1058"/>
        </w:numPr>
        <w:pStyle w:val="Compact"/>
      </w:pPr>
      <w:r>
        <w:rPr>
          <w:bCs/>
          <w:b/>
        </w:rPr>
        <w:t xml:space="preserve">FAQ (item 8):</w:t>
      </w:r>
      <w:r>
        <w:t xml:space="preserve"> </w:t>
      </w:r>
      <w:r>
        <w:t xml:space="preserve">fala em</w:t>
      </w:r>
      <w:r>
        <w:t xml:space="preserve"> </w:t>
      </w:r>
      <w:r>
        <w:t xml:space="preserve">“</w:t>
      </w:r>
      <w:r>
        <w:t xml:space="preserve">multiplicadores por região</w:t>
      </w:r>
      <w:r>
        <w:t xml:space="preserve">”</w:t>
      </w:r>
      <w:r>
        <w:t xml:space="preserve">, sem dizer se é a região de origem ou de destino.</w:t>
      </w:r>
    </w:p>
    <w:p>
      <w:pPr>
        <w:numPr>
          <w:ilvl w:val="0"/>
          <w:numId w:val="1058"/>
        </w:numPr>
        <w:pStyle w:val="Compact"/>
      </w:pPr>
      <w:r>
        <w:rPr>
          <w:bCs/>
          <w:b/>
        </w:rPr>
        <w:t xml:space="preserve">Relação:</w:t>
      </w:r>
      <w:r>
        <w:t xml:space="preserve"> </w:t>
      </w:r>
      <w:r>
        <w:t xml:space="preserve">gera ambiguidade, em grau leve.</w:t>
      </w:r>
    </w:p>
    <w:p>
      <w:pPr>
        <w:numPr>
          <w:ilvl w:val="0"/>
          <w:numId w:val="1058"/>
        </w:numPr>
        <w:pStyle w:val="Compact"/>
      </w:pPr>
      <w:r>
        <w:rPr>
          <w:bCs/>
          <w:b/>
        </w:rPr>
        <w:t xml:space="preserve">Impacto:</w:t>
      </w:r>
      <w:r>
        <w:t xml:space="preserve"> </w:t>
      </w:r>
      <w:r>
        <w:t xml:space="preserve">pode haver erro pontual em rotas entre regiões diferentes.</w:t>
      </w:r>
    </w:p>
    <w:p>
      <w:pPr>
        <w:numPr>
          <w:ilvl w:val="0"/>
          <w:numId w:val="1058"/>
        </w:numPr>
        <w:pStyle w:val="Compact"/>
      </w:pPr>
      <w:r>
        <w:rPr>
          <w:bCs/>
          <w:b/>
        </w:rPr>
        <w:t xml:space="preserve">Criticidade:</w:t>
      </w:r>
      <w:r>
        <w:t xml:space="preserve"> </w:t>
      </w:r>
      <w:r>
        <w:t xml:space="preserve">Baixa.</w:t>
      </w:r>
    </w:p>
    <w:p>
      <w:pPr>
        <w:numPr>
          <w:ilvl w:val="0"/>
          <w:numId w:val="1058"/>
        </w:numPr>
        <w:pStyle w:val="Compact"/>
      </w:pPr>
      <w:r>
        <w:rPr>
          <w:bCs/>
          <w:b/>
        </w:rPr>
        <w:t xml:space="preserve">Pergunta (Comercial):</w:t>
      </w:r>
      <w:r>
        <w:t xml:space="preserve"> </w:t>
      </w:r>
      <w:r>
        <w:t xml:space="preserve">confirmar que o multiplicador considera sempre e somente a região de destino.</w:t>
      </w:r>
    </w:p>
    <w:bookmarkEnd w:id="69"/>
    <w:bookmarkStart w:id="70" w:name="valor-base-tabela-mensal"/>
    <w:p>
      <w:pPr>
        <w:pStyle w:val="Heading4"/>
      </w:pPr>
      <w:r>
        <w:t xml:space="preserve">11. Valor base (tabela mensal)</w:t>
      </w:r>
    </w:p>
    <w:p>
      <w:pPr>
        <w:numPr>
          <w:ilvl w:val="0"/>
          <w:numId w:val="1059"/>
        </w:numPr>
        <w:pStyle w:val="Compact"/>
      </w:pPr>
      <w:r>
        <w:rPr>
          <w:bCs/>
          <w:b/>
        </w:rPr>
        <w:t xml:space="preserve">Regra formal (v1):</w:t>
      </w:r>
      <w:r>
        <w:t xml:space="preserve"> </w:t>
      </w:r>
      <w:r>
        <w:t xml:space="preserve">o valor base é a</w:t>
      </w:r>
      <w:r>
        <w:t xml:space="preserve"> </w:t>
      </w:r>
      <w:r>
        <w:t xml:space="preserve">“</w:t>
      </w:r>
      <w:r>
        <w:t xml:space="preserve">tarifa publicada na tabela mensal de fretes</w:t>
      </w:r>
      <w:r>
        <w:t xml:space="preserve">”</w:t>
      </w:r>
      <w:r>
        <w:t xml:space="preserve">.</w:t>
      </w:r>
    </w:p>
    <w:p>
      <w:pPr>
        <w:numPr>
          <w:ilvl w:val="0"/>
          <w:numId w:val="1059"/>
        </w:numPr>
        <w:pStyle w:val="Compact"/>
      </w:pPr>
      <w:r>
        <w:rPr>
          <w:bCs/>
          <w:b/>
        </w:rPr>
        <w:t xml:space="preserve">FAQ:</w:t>
      </w:r>
      <w:r>
        <w:t xml:space="preserve"> </w:t>
      </w:r>
      <w:r>
        <w:t xml:space="preserve">não aborda.</w:t>
      </w:r>
    </w:p>
    <w:p>
      <w:pPr>
        <w:numPr>
          <w:ilvl w:val="0"/>
          <w:numId w:val="1059"/>
        </w:numPr>
        <w:pStyle w:val="Compact"/>
      </w:pPr>
      <w:r>
        <w:rPr>
          <w:bCs/>
          <w:b/>
        </w:rPr>
        <w:t xml:space="preserve">Relação:</w:t>
      </w:r>
      <w:r>
        <w:t xml:space="preserve"> </w:t>
      </w:r>
      <w:r>
        <w:t xml:space="preserve">não abordado (lacuna).</w:t>
      </w:r>
    </w:p>
    <w:p>
      <w:pPr>
        <w:numPr>
          <w:ilvl w:val="0"/>
          <w:numId w:val="1059"/>
        </w:numPr>
        <w:pStyle w:val="Compact"/>
      </w:pPr>
      <w:r>
        <w:rPr>
          <w:bCs/>
          <w:b/>
        </w:rPr>
        <w:t xml:space="preserve">Impacto:</w:t>
      </w:r>
      <w:r>
        <w:t xml:space="preserve"> </w:t>
      </w:r>
      <w:r>
        <w:t xml:space="preserve">a tabela mensal não está entre os documentos. Não se sabe se o atendimento tem acesso a ela nem se a tabela de cada mês é vinculada à data do chamado ou à do embarque.</w:t>
      </w:r>
    </w:p>
    <w:p>
      <w:pPr>
        <w:numPr>
          <w:ilvl w:val="0"/>
          <w:numId w:val="1059"/>
        </w:numPr>
        <w:pStyle w:val="Compact"/>
      </w:pPr>
      <w:r>
        <w:rPr>
          <w:bCs/>
          <w:b/>
        </w:rPr>
        <w:t xml:space="preserve">Criticidade:</w:t>
      </w:r>
      <w:r>
        <w:t xml:space="preserve"> </w:t>
      </w:r>
      <w:r>
        <w:t xml:space="preserve">Média.</w:t>
      </w:r>
    </w:p>
    <w:p>
      <w:pPr>
        <w:numPr>
          <w:ilvl w:val="0"/>
          <w:numId w:val="1059"/>
        </w:numPr>
        <w:pStyle w:val="Compact"/>
      </w:pPr>
      <w:r>
        <w:rPr>
          <w:bCs/>
          <w:b/>
        </w:rPr>
        <w:t xml:space="preserve">Pergunta (Comercial):</w:t>
      </w:r>
      <w:r>
        <w:t xml:space="preserve"> </w:t>
      </w:r>
      <w:r>
        <w:t xml:space="preserve">onde a tabela mensal é publicada e quem a mantém? Qual mês vale para o cálculo: o do chamado ou o do embarque?</w:t>
      </w:r>
    </w:p>
    <w:bookmarkEnd w:id="70"/>
    <w:bookmarkStart w:id="71" w:name="peso-considerado"/>
    <w:p>
      <w:pPr>
        <w:pStyle w:val="Heading4"/>
      </w:pPr>
      <w:r>
        <w:t xml:space="preserve">12. Peso considerado</w:t>
      </w:r>
    </w:p>
    <w:p>
      <w:pPr>
        <w:numPr>
          <w:ilvl w:val="0"/>
          <w:numId w:val="1060"/>
        </w:numPr>
        <w:pStyle w:val="Compact"/>
      </w:pPr>
      <w:r>
        <w:rPr>
          <w:bCs/>
          <w:b/>
        </w:rPr>
        <w:t xml:space="preserve">Regra formal (v1):</w:t>
      </w:r>
      <w:r>
        <w:t xml:space="preserve"> </w:t>
      </w:r>
      <w:r>
        <w:t xml:space="preserve">não define se o peso é o real, o cubado ou o maior dos dois.</w:t>
      </w:r>
    </w:p>
    <w:p>
      <w:pPr>
        <w:numPr>
          <w:ilvl w:val="0"/>
          <w:numId w:val="1060"/>
        </w:numPr>
        <w:pStyle w:val="Compact"/>
      </w:pPr>
      <w:r>
        <w:rPr>
          <w:bCs/>
          <w:b/>
        </w:rPr>
        <w:t xml:space="preserve">FAQ:</w:t>
      </w:r>
      <w:r>
        <w:t xml:space="preserve"> </w:t>
      </w:r>
      <w:r>
        <w:t xml:space="preserve">não aborda.</w:t>
      </w:r>
    </w:p>
    <w:p>
      <w:pPr>
        <w:numPr>
          <w:ilvl w:val="0"/>
          <w:numId w:val="1060"/>
        </w:numPr>
        <w:pStyle w:val="Compact"/>
      </w:pPr>
      <w:r>
        <w:rPr>
          <w:bCs/>
          <w:b/>
        </w:rPr>
        <w:t xml:space="preserve">Relação:</w:t>
      </w:r>
      <w:r>
        <w:t xml:space="preserve"> </w:t>
      </w:r>
      <w:r>
        <w:t xml:space="preserve">não abordado (lacuna comum aos dois documentos).</w:t>
      </w:r>
    </w:p>
    <w:p>
      <w:pPr>
        <w:numPr>
          <w:ilvl w:val="0"/>
          <w:numId w:val="1060"/>
        </w:numPr>
        <w:pStyle w:val="Compact"/>
      </w:pPr>
      <w:r>
        <w:rPr>
          <w:bCs/>
          <w:b/>
        </w:rPr>
        <w:t xml:space="preserve">Impacto:</w:t>
      </w:r>
      <w:r>
        <w:t xml:space="preserve"> </w:t>
      </w:r>
      <w:r>
        <w:t xml:space="preserve">cargas volumosas e leves podem ser enquadradas de forma diferente, tanto no limite de 500 kg quanto nas faixas de fator de peso.</w:t>
      </w:r>
    </w:p>
    <w:p>
      <w:pPr>
        <w:numPr>
          <w:ilvl w:val="0"/>
          <w:numId w:val="1060"/>
        </w:numPr>
        <w:pStyle w:val="Compact"/>
      </w:pPr>
      <w:r>
        <w:rPr>
          <w:bCs/>
          <w:b/>
        </w:rPr>
        <w:t xml:space="preserve">Criticidade:</w:t>
      </w:r>
      <w:r>
        <w:t xml:space="preserve"> </w:t>
      </w:r>
      <w:r>
        <w:t xml:space="preserve">Média.</w:t>
      </w:r>
    </w:p>
    <w:p>
      <w:pPr>
        <w:numPr>
          <w:ilvl w:val="0"/>
          <w:numId w:val="1060"/>
        </w:numPr>
        <w:pStyle w:val="Compact"/>
      </w:pPr>
      <w:r>
        <w:rPr>
          <w:bCs/>
          <w:b/>
        </w:rPr>
        <w:t xml:space="preserve">Pergunta (Operações e Comercial):</w:t>
      </w:r>
      <w:r>
        <w:t xml:space="preserve"> </w:t>
      </w:r>
      <w:r>
        <w:t xml:space="preserve">qual peso é usado para o enquadramento e para o cálculo?</w:t>
      </w:r>
    </w:p>
    <w:bookmarkEnd w:id="71"/>
    <w:bookmarkStart w:id="72" w:name="faq-usando-a-proc-042-como-fonte"/>
    <w:p>
      <w:pPr>
        <w:pStyle w:val="Heading4"/>
      </w:pPr>
      <w:r>
        <w:t xml:space="preserve">13. FAQ usando a PROC-042 como fonte</w:t>
      </w:r>
    </w:p>
    <w:p>
      <w:pPr>
        <w:numPr>
          <w:ilvl w:val="0"/>
          <w:numId w:val="1061"/>
        </w:numPr>
        <w:pStyle w:val="Compact"/>
      </w:pPr>
      <w:r>
        <w:rPr>
          <w:bCs/>
          <w:b/>
        </w:rPr>
        <w:t xml:space="preserve">Regra formal (v1):</w:t>
      </w:r>
      <w:r>
        <w:t xml:space="preserve"> </w:t>
      </w:r>
      <w:r>
        <w:t xml:space="preserve">a responsável pelo documento é a Diretoria Comercial.</w:t>
      </w:r>
    </w:p>
    <w:p>
      <w:pPr>
        <w:numPr>
          <w:ilvl w:val="0"/>
          <w:numId w:val="1061"/>
        </w:numPr>
        <w:pStyle w:val="Compact"/>
      </w:pPr>
      <w:r>
        <w:rPr>
          <w:bCs/>
          <w:b/>
        </w:rPr>
        <w:t xml:space="preserve">FAQ:</w:t>
      </w:r>
      <w:r>
        <w:t xml:space="preserve"> </w:t>
      </w:r>
      <w:r>
        <w:t xml:space="preserve">não tem responsável formal. Cita a PROC-042 como fonte (itens 8 e 45), mas em pelo menos um caso atribui a ela uma regra que a v1 não contém: o desconto automático.</w:t>
      </w:r>
    </w:p>
    <w:p>
      <w:pPr>
        <w:numPr>
          <w:ilvl w:val="0"/>
          <w:numId w:val="1061"/>
        </w:numPr>
        <w:pStyle w:val="Compact"/>
      </w:pPr>
      <w:r>
        <w:rPr>
          <w:bCs/>
          <w:b/>
        </w:rPr>
        <w:t xml:space="preserve">Relação:</w:t>
      </w:r>
      <w:r>
        <w:t xml:space="preserve"> </w:t>
      </w:r>
      <w:r>
        <w:t xml:space="preserve">gera ambiguidade. O FAQ parece ter respaldo oficial, mas diverge do procedimento que cita.</w:t>
      </w:r>
    </w:p>
    <w:p>
      <w:pPr>
        <w:numPr>
          <w:ilvl w:val="0"/>
          <w:numId w:val="1061"/>
        </w:numPr>
        <w:pStyle w:val="Compact"/>
      </w:pPr>
      <w:r>
        <w:rPr>
          <w:bCs/>
          <w:b/>
        </w:rPr>
        <w:t xml:space="preserve">Impacto:</w:t>
      </w:r>
      <w:r>
        <w:t xml:space="preserve"> </w:t>
      </w:r>
      <w:r>
        <w:t xml:space="preserve">atendentes tendem a confiar em um FAQ que cita procedimentos formais. Divergências se espalham sem que ninguém seja responsável por corrigi-las.</w:t>
      </w:r>
    </w:p>
    <w:p>
      <w:pPr>
        <w:numPr>
          <w:ilvl w:val="0"/>
          <w:numId w:val="1061"/>
        </w:numPr>
        <w:pStyle w:val="Compact"/>
      </w:pPr>
      <w:r>
        <w:rPr>
          <w:bCs/>
          <w:b/>
        </w:rPr>
        <w:t xml:space="preserve">Criticidade:</w:t>
      </w:r>
      <w:r>
        <w:t xml:space="preserve"> </w:t>
      </w:r>
      <w:r>
        <w:t xml:space="preserve">Média.</w:t>
      </w:r>
    </w:p>
    <w:p>
      <w:pPr>
        <w:numPr>
          <w:ilvl w:val="0"/>
          <w:numId w:val="1061"/>
        </w:numPr>
        <w:pStyle w:val="Compact"/>
      </w:pPr>
      <w:r>
        <w:rPr>
          <w:bCs/>
          <w:b/>
        </w:rPr>
        <w:t xml:space="preserve">Pergunta (Comercial):</w:t>
      </w:r>
      <w:r>
        <w:t xml:space="preserve"> </w:t>
      </w:r>
      <w:r>
        <w:t xml:space="preserve">a Diretoria Comercial deve revisar os itens do FAQ que tratam de frete especial? Quem passa a ser responsável por mantê-los alinhados à PROC-042?</w:t>
      </w:r>
    </w:p>
    <w:bookmarkEnd w:id="72"/>
    <w:bookmarkEnd w:id="73"/>
    <w:bookmarkStart w:id="74" w:name="X1dda9dfe9d1a4e08dba978ce8cc5be5711e32d2"/>
    <w:p>
      <w:pPr>
        <w:pStyle w:val="Heading3"/>
      </w:pPr>
      <w:r>
        <w:t xml:space="preserve">Itens do FAQ fora do escopo do PROC-042 v1</w:t>
      </w:r>
    </w:p>
    <w:p>
      <w:pPr>
        <w:pStyle w:val="FirstParagraph"/>
      </w:pPr>
      <w:r>
        <w:t xml:space="preserve">Estes itens trazem regras informais, mas a v1 não trata dos temas, então não há o que cruzar. Registro-os para validação em outra frente:</w:t>
      </w:r>
    </w:p>
    <w:p>
      <w:pPr>
        <w:numPr>
          <w:ilvl w:val="0"/>
          <w:numId w:val="1062"/>
        </w:numPr>
        <w:pStyle w:val="Compact"/>
      </w:pPr>
      <w:r>
        <w:rPr>
          <w:bCs/>
          <w:b/>
        </w:rPr>
        <w:t xml:space="preserve">Item 3:</w:t>
      </w:r>
      <w:r>
        <w:t xml:space="preserve"> </w:t>
      </w:r>
      <w:r>
        <w:t xml:space="preserve">devolução de carga perigosa, com possibilidade de exceção pela Gestão de Riscos (ramal 4500).</w:t>
      </w:r>
    </w:p>
    <w:p>
      <w:pPr>
        <w:numPr>
          <w:ilvl w:val="0"/>
          <w:numId w:val="1062"/>
        </w:numPr>
        <w:pStyle w:val="Compact"/>
      </w:pPr>
      <w:r>
        <w:rPr>
          <w:bCs/>
          <w:b/>
        </w:rPr>
        <w:t xml:space="preserve">Item 15:</w:t>
      </w:r>
      <w:r>
        <w:t xml:space="preserve"> </w:t>
      </w:r>
      <w:r>
        <w:t xml:space="preserve">inexistência do tier Platinum.</w:t>
      </w:r>
    </w:p>
    <w:p>
      <w:pPr>
        <w:numPr>
          <w:ilvl w:val="0"/>
          <w:numId w:val="1062"/>
        </w:numPr>
        <w:pStyle w:val="Compact"/>
      </w:pPr>
      <w:r>
        <w:rPr>
          <w:bCs/>
          <w:b/>
        </w:rPr>
        <w:t xml:space="preserve">Item 22:</w:t>
      </w:r>
      <w:r>
        <w:t xml:space="preserve"> </w:t>
      </w:r>
      <w:r>
        <w:t xml:space="preserve">seguro de 0,3% para cargas padrão e 0,8% para cargas perigosas, válido para contratos a partir de 2023. Toca em cargas perigosas, mas é um adicional que a v1 não cobre.</w:t>
      </w:r>
    </w:p>
    <w:p>
      <w:pPr>
        <w:numPr>
          <w:ilvl w:val="0"/>
          <w:numId w:val="1062"/>
        </w:numPr>
        <w:pStyle w:val="Compact"/>
      </w:pPr>
      <w:r>
        <w:rPr>
          <w:bCs/>
          <w:b/>
        </w:rPr>
        <w:t xml:space="preserve">Item 27:</w:t>
      </w:r>
      <w:r>
        <w:t xml:space="preserve"> </w:t>
      </w:r>
      <w:r>
        <w:t xml:space="preserve">prioridade alta para cliente Gold ou carga acima de R$ 50 mil. O resumo menciona um limite de R$ 100 mil no SLA-2024 para incidentes críticos, mas os dois tratam de coisas diferentes. Sem o arquivo do SLA, não é possível confirmar se há conflito.</w:t>
      </w:r>
    </w:p>
    <w:p>
      <w:pPr>
        <w:numPr>
          <w:ilvl w:val="0"/>
          <w:numId w:val="1062"/>
        </w:numPr>
        <w:pStyle w:val="Compact"/>
      </w:pPr>
      <w:r>
        <w:rPr>
          <w:bCs/>
          <w:b/>
        </w:rPr>
        <w:t xml:space="preserve">Item 38:</w:t>
      </w:r>
      <w:r>
        <w:t xml:space="preserve"> </w:t>
      </w:r>
      <w:r>
        <w:t xml:space="preserve">carga danificada, com registro em até 48h e encaminhamento para sinistros@novatech.com.br.</w:t>
      </w:r>
    </w:p>
    <w:p>
      <w:pPr>
        <w:numPr>
          <w:ilvl w:val="0"/>
          <w:numId w:val="1062"/>
        </w:numPr>
        <w:pStyle w:val="Compact"/>
      </w:pPr>
      <w:r>
        <w:rPr>
          <w:bCs/>
          <w:b/>
        </w:rPr>
        <w:t xml:space="preserve">Item 41:</w:t>
      </w:r>
      <w:r>
        <w:t xml:space="preserve"> </w:t>
      </w:r>
      <w:r>
        <w:t xml:space="preserve">tabela de SLA de resposta e resolução, que coincide com o resumo do SLA-2024.</w:t>
      </w:r>
    </w:p>
    <w:bookmarkEnd w:id="74"/>
    <w:bookmarkStart w:id="75" w:name="resumo-1"/>
    <w:p>
      <w:pPr>
        <w:pStyle w:val="Heading3"/>
      </w:pPr>
      <w:r>
        <w:t xml:space="preserve">Resumo</w:t>
      </w:r>
    </w:p>
    <w:tbl>
      <w:tblPr>
        <w:tblStyle w:val="Table"/>
        <w:tblW w:type="pct" w:w="5000"/>
        <w:tblLook w:firstRow="1" w:lastRow="0" w:firstColumn="0" w:lastColumn="0" w:noHBand="0" w:noVBand="0" w:val="0020"/>
        <w:jc w:val="start"/>
      </w:tblPr>
      <w:tblGrid>
        <w:gridCol w:w="440"/>
        <w:gridCol w:w="3520"/>
        <w:gridCol w:w="2640"/>
        <w:gridCol w:w="1320"/>
      </w:tblGrid>
      <w:tr>
        <w:trPr>
          <w:tblHeader w:val="true"/>
        </w:trPr>
        <w:tc>
          <w:tcPr/>
          <w:p>
            <w:pPr>
              <w:pStyle w:val="Compact"/>
              <w:jc w:val="left"/>
            </w:pPr>
            <w:r>
              <w:t xml:space="preserve">#</w:t>
            </w:r>
          </w:p>
        </w:tc>
        <w:tc>
          <w:tcPr/>
          <w:p>
            <w:pPr>
              <w:pStyle w:val="Compact"/>
              <w:jc w:val="left"/>
            </w:pPr>
            <w:r>
              <w:t xml:space="preserve">Tema</w:t>
            </w:r>
          </w:p>
        </w:tc>
        <w:tc>
          <w:tcPr/>
          <w:p>
            <w:pPr>
              <w:pStyle w:val="Compact"/>
              <w:jc w:val="left"/>
            </w:pPr>
            <w:r>
              <w:t xml:space="preserve">Relação</w:t>
            </w:r>
          </w:p>
        </w:tc>
        <w:tc>
          <w:tcPr/>
          <w:p>
            <w:pPr>
              <w:pStyle w:val="Compact"/>
              <w:jc w:val="left"/>
            </w:pPr>
            <w:r>
              <w:t xml:space="preserve">Criticidade</w:t>
            </w:r>
          </w:p>
        </w:tc>
      </w:tr>
      <w:tr>
        <w:tc>
          <w:tcPr/>
          <w:p>
            <w:pPr>
              <w:pStyle w:val="Compact"/>
              <w:jc w:val="left"/>
            </w:pPr>
            <w:r>
              <w:t xml:space="preserve">1</w:t>
            </w:r>
          </w:p>
        </w:tc>
        <w:tc>
          <w:tcPr/>
          <w:p>
            <w:pPr>
              <w:pStyle w:val="Compact"/>
              <w:jc w:val="left"/>
            </w:pPr>
            <w:r>
              <w:t xml:space="preserve">Limite de 500 kg</w:t>
            </w:r>
          </w:p>
        </w:tc>
        <w:tc>
          <w:tcPr/>
          <w:p>
            <w:pPr>
              <w:pStyle w:val="Compact"/>
              <w:jc w:val="left"/>
            </w:pPr>
            <w:r>
              <w:t xml:space="preserve">Confirma (ambiguidade herdada)</w:t>
            </w:r>
          </w:p>
        </w:tc>
        <w:tc>
          <w:tcPr/>
          <w:p>
            <w:pPr>
              <w:pStyle w:val="Compact"/>
              <w:jc w:val="left"/>
            </w:pPr>
            <w:r>
              <w:t xml:space="preserve">Média</w:t>
            </w:r>
          </w:p>
        </w:tc>
      </w:tr>
      <w:tr>
        <w:tc>
          <w:tcPr/>
          <w:p>
            <w:pPr>
              <w:pStyle w:val="Compact"/>
              <w:jc w:val="left"/>
            </w:pPr>
            <w:r>
              <w:t xml:space="preserve">2</w:t>
            </w:r>
          </w:p>
        </w:tc>
        <w:tc>
          <w:tcPr/>
          <w:p>
            <w:pPr>
              <w:pStyle w:val="Compact"/>
              <w:jc w:val="left"/>
            </w:pPr>
            <w:r>
              <w:t xml:space="preserve">Composição do cálculo</w:t>
            </w:r>
          </w:p>
        </w:tc>
        <w:tc>
          <w:tcPr/>
          <w:p>
            <w:pPr>
              <w:pStyle w:val="Compact"/>
              <w:jc w:val="left"/>
            </w:pPr>
            <w:r>
              <w:t xml:space="preserve">Gera ambiguidade</w:t>
            </w:r>
          </w:p>
        </w:tc>
        <w:tc>
          <w:tcPr/>
          <w:p>
            <w:pPr>
              <w:pStyle w:val="Compact"/>
              <w:jc w:val="left"/>
            </w:pPr>
            <w:r>
              <w:t xml:space="preserve">Média</w:t>
            </w:r>
          </w:p>
        </w:tc>
      </w:tr>
      <w:tr>
        <w:tc>
          <w:tcPr/>
          <w:p>
            <w:pPr>
              <w:pStyle w:val="Compact"/>
              <w:jc w:val="left"/>
            </w:pPr>
            <w:r>
              <w:t xml:space="preserve">3</w:t>
            </w:r>
          </w:p>
        </w:tc>
        <w:tc>
          <w:tcPr/>
          <w:p>
            <w:pPr>
              <w:pStyle w:val="Compact"/>
              <w:jc w:val="left"/>
            </w:pPr>
            <w:r>
              <w:t xml:space="preserve">Escolha da versão e da tabela</w:t>
            </w:r>
          </w:p>
        </w:tc>
        <w:tc>
          <w:tcPr/>
          <w:p>
            <w:pPr>
              <w:pStyle w:val="Compact"/>
              <w:jc w:val="left"/>
            </w:pPr>
            <w:r>
              <w:t xml:space="preserve">Complementa e gera ambiguidade</w:t>
            </w:r>
          </w:p>
        </w:tc>
        <w:tc>
          <w:tcPr/>
          <w:p>
            <w:pPr>
              <w:pStyle w:val="Compact"/>
              <w:jc w:val="left"/>
            </w:pPr>
            <w:r>
              <w:t xml:space="preserve">Alta</w:t>
            </w:r>
          </w:p>
        </w:tc>
      </w:tr>
      <w:tr>
        <w:tc>
          <w:tcPr/>
          <w:p>
            <w:pPr>
              <w:pStyle w:val="Compact"/>
              <w:jc w:val="left"/>
            </w:pPr>
            <w:r>
              <w:t xml:space="preserve">4</w:t>
            </w:r>
          </w:p>
        </w:tc>
        <w:tc>
          <w:tcPr/>
          <w:p>
            <w:pPr>
              <w:pStyle w:val="Compact"/>
              <w:jc w:val="left"/>
            </w:pPr>
            <w:r>
              <w:t xml:space="preserve">Desconto por volume: natureza</w:t>
            </w:r>
          </w:p>
        </w:tc>
        <w:tc>
          <w:tcPr/>
          <w:p>
            <w:pPr>
              <w:pStyle w:val="Compact"/>
              <w:jc w:val="left"/>
            </w:pPr>
            <w:r>
              <w:t xml:space="preserve">Contradiz</w:t>
            </w:r>
          </w:p>
        </w:tc>
        <w:tc>
          <w:tcPr/>
          <w:p>
            <w:pPr>
              <w:pStyle w:val="Compact"/>
              <w:jc w:val="left"/>
            </w:pPr>
            <w:r>
              <w:t xml:space="preserve">Alta</w:t>
            </w:r>
          </w:p>
        </w:tc>
      </w:tr>
      <w:tr>
        <w:tc>
          <w:tcPr/>
          <w:p>
            <w:pPr>
              <w:pStyle w:val="Compact"/>
              <w:jc w:val="left"/>
            </w:pPr>
            <w:r>
              <w:t xml:space="preserve">5</w:t>
            </w:r>
          </w:p>
        </w:tc>
        <w:tc>
          <w:tcPr/>
          <w:p>
            <w:pPr>
              <w:pStyle w:val="Compact"/>
              <w:jc w:val="left"/>
            </w:pPr>
            <w:r>
              <w:t xml:space="preserve">Desconto: autonomia e fluxo</w:t>
            </w:r>
          </w:p>
        </w:tc>
        <w:tc>
          <w:tcPr/>
          <w:p>
            <w:pPr>
              <w:pStyle w:val="Compact"/>
              <w:jc w:val="left"/>
            </w:pPr>
            <w:r>
              <w:t xml:space="preserve">Confirma e complementa</w:t>
            </w:r>
          </w:p>
        </w:tc>
        <w:tc>
          <w:tcPr/>
          <w:p>
            <w:pPr>
              <w:pStyle w:val="Compact"/>
              <w:jc w:val="left"/>
            </w:pPr>
            <w:r>
              <w:t xml:space="preserve">Baixa</w:t>
            </w:r>
          </w:p>
        </w:tc>
      </w:tr>
      <w:tr>
        <w:tc>
          <w:tcPr/>
          <w:p>
            <w:pPr>
              <w:pStyle w:val="Compact"/>
              <w:jc w:val="left"/>
            </w:pPr>
            <w:r>
              <w:t xml:space="preserve">6</w:t>
            </w:r>
          </w:p>
        </w:tc>
        <w:tc>
          <w:tcPr/>
          <w:p>
            <w:pPr>
              <w:pStyle w:val="Compact"/>
              <w:jc w:val="left"/>
            </w:pPr>
            <w:r>
              <w:t xml:space="preserve">Cargas perigosas: tarifa e autorização</w:t>
            </w:r>
          </w:p>
        </w:tc>
        <w:tc>
          <w:tcPr/>
          <w:p>
            <w:pPr>
              <w:pStyle w:val="Compact"/>
              <w:jc w:val="left"/>
            </w:pPr>
            <w:r>
              <w:t xml:space="preserve">Complementa (regra informal)</w:t>
            </w:r>
          </w:p>
        </w:tc>
        <w:tc>
          <w:tcPr/>
          <w:p>
            <w:pPr>
              <w:pStyle w:val="Compact"/>
              <w:jc w:val="left"/>
            </w:pPr>
            <w:r>
              <w:t xml:space="preserve">Alta</w:t>
            </w:r>
          </w:p>
        </w:tc>
      </w:tr>
      <w:tr>
        <w:tc>
          <w:tcPr/>
          <w:p>
            <w:pPr>
              <w:pStyle w:val="Compact"/>
              <w:jc w:val="left"/>
            </w:pPr>
            <w:r>
              <w:t xml:space="preserve">7</w:t>
            </w:r>
          </w:p>
        </w:tc>
        <w:tc>
          <w:tcPr/>
          <w:p>
            <w:pPr>
              <w:pStyle w:val="Compact"/>
              <w:jc w:val="left"/>
            </w:pPr>
            <w:r>
              <w:t xml:space="preserve">Prazo de carga perigosa expressa</w:t>
            </w:r>
          </w:p>
        </w:tc>
        <w:tc>
          <w:tcPr/>
          <w:p>
            <w:pPr>
              <w:pStyle w:val="Compact"/>
              <w:jc w:val="left"/>
            </w:pPr>
            <w:r>
              <w:t xml:space="preserve">Gera ambiguidade</w:t>
            </w:r>
          </w:p>
        </w:tc>
        <w:tc>
          <w:tcPr/>
          <w:p>
            <w:pPr>
              <w:pStyle w:val="Compact"/>
              <w:jc w:val="left"/>
            </w:pPr>
            <w:r>
              <w:t xml:space="preserve">Média</w:t>
            </w:r>
          </w:p>
        </w:tc>
      </w:tr>
      <w:tr>
        <w:tc>
          <w:tcPr/>
          <w:p>
            <w:pPr>
              <w:pStyle w:val="Compact"/>
              <w:jc w:val="left"/>
            </w:pPr>
            <w:r>
              <w:t xml:space="preserve">8</w:t>
            </w:r>
          </w:p>
        </w:tc>
        <w:tc>
          <w:tcPr/>
          <w:p>
            <w:pPr>
              <w:pStyle w:val="Compact"/>
              <w:jc w:val="left"/>
            </w:pPr>
            <w:r>
              <w:t xml:space="preserve">Prazo de frete especial e atraso</w:t>
            </w:r>
          </w:p>
        </w:tc>
        <w:tc>
          <w:tcPr/>
          <w:p>
            <w:pPr>
              <w:pStyle w:val="Compact"/>
              <w:jc w:val="left"/>
            </w:pPr>
            <w:r>
              <w:t xml:space="preserve">Gera ambiguidade</w:t>
            </w:r>
          </w:p>
        </w:tc>
        <w:tc>
          <w:tcPr/>
          <w:p>
            <w:pPr>
              <w:pStyle w:val="Compact"/>
              <w:jc w:val="left"/>
            </w:pPr>
            <w:r>
              <w:t xml:space="preserve">Média</w:t>
            </w:r>
          </w:p>
        </w:tc>
      </w:tr>
      <w:tr>
        <w:tc>
          <w:tcPr/>
          <w:p>
            <w:pPr>
              <w:pStyle w:val="Compact"/>
              <w:jc w:val="left"/>
            </w:pPr>
            <w:r>
              <w:t xml:space="preserve">9</w:t>
            </w:r>
          </w:p>
        </w:tc>
        <w:tc>
          <w:tcPr/>
          <w:p>
            <w:pPr>
              <w:pStyle w:val="Compact"/>
              <w:jc w:val="left"/>
            </w:pPr>
            <w:r>
              <w:t xml:space="preserve">Aprovação acima de 5.000 kg</w:t>
            </w:r>
          </w:p>
        </w:tc>
        <w:tc>
          <w:tcPr/>
          <w:p>
            <w:pPr>
              <w:pStyle w:val="Compact"/>
              <w:jc w:val="left"/>
            </w:pPr>
            <w:r>
              <w:t xml:space="preserve">Lacuna</w:t>
            </w:r>
          </w:p>
        </w:tc>
        <w:tc>
          <w:tcPr/>
          <w:p>
            <w:pPr>
              <w:pStyle w:val="Compact"/>
              <w:jc w:val="left"/>
            </w:pPr>
            <w:r>
              <w:t xml:space="preserve">Média</w:t>
            </w:r>
          </w:p>
        </w:tc>
      </w:tr>
      <w:tr>
        <w:tc>
          <w:tcPr/>
          <w:p>
            <w:pPr>
              <w:pStyle w:val="Compact"/>
              <w:jc w:val="left"/>
            </w:pPr>
            <w:r>
              <w:t xml:space="preserve">10</w:t>
            </w:r>
          </w:p>
        </w:tc>
        <w:tc>
          <w:tcPr/>
          <w:p>
            <w:pPr>
              <w:pStyle w:val="Compact"/>
              <w:jc w:val="left"/>
            </w:pPr>
            <w:r>
              <w:t xml:space="preserve">Região do multiplicador</w:t>
            </w:r>
          </w:p>
        </w:tc>
        <w:tc>
          <w:tcPr/>
          <w:p>
            <w:pPr>
              <w:pStyle w:val="Compact"/>
              <w:jc w:val="left"/>
            </w:pPr>
            <w:r>
              <w:t xml:space="preserve">Gera ambiguidade</w:t>
            </w:r>
          </w:p>
        </w:tc>
        <w:tc>
          <w:tcPr/>
          <w:p>
            <w:pPr>
              <w:pStyle w:val="Compact"/>
              <w:jc w:val="left"/>
            </w:pPr>
            <w:r>
              <w:t xml:space="preserve">Baixa</w:t>
            </w:r>
          </w:p>
        </w:tc>
      </w:tr>
      <w:tr>
        <w:tc>
          <w:tcPr/>
          <w:p>
            <w:pPr>
              <w:pStyle w:val="Compact"/>
              <w:jc w:val="left"/>
            </w:pPr>
            <w:r>
              <w:t xml:space="preserve">11</w:t>
            </w:r>
          </w:p>
        </w:tc>
        <w:tc>
          <w:tcPr/>
          <w:p>
            <w:pPr>
              <w:pStyle w:val="Compact"/>
              <w:jc w:val="left"/>
            </w:pPr>
            <w:r>
              <w:t xml:space="preserve">Valor base / tabela mensal</w:t>
            </w:r>
          </w:p>
        </w:tc>
        <w:tc>
          <w:tcPr/>
          <w:p>
            <w:pPr>
              <w:pStyle w:val="Compact"/>
              <w:jc w:val="left"/>
            </w:pPr>
            <w:r>
              <w:t xml:space="preserve">Lacuna</w:t>
            </w:r>
          </w:p>
        </w:tc>
        <w:tc>
          <w:tcPr/>
          <w:p>
            <w:pPr>
              <w:pStyle w:val="Compact"/>
              <w:jc w:val="left"/>
            </w:pPr>
            <w:r>
              <w:t xml:space="preserve">Média</w:t>
            </w:r>
          </w:p>
        </w:tc>
      </w:tr>
      <w:tr>
        <w:tc>
          <w:tcPr/>
          <w:p>
            <w:pPr>
              <w:pStyle w:val="Compact"/>
              <w:jc w:val="left"/>
            </w:pPr>
            <w:r>
              <w:t xml:space="preserve">12</w:t>
            </w:r>
          </w:p>
        </w:tc>
        <w:tc>
          <w:tcPr/>
          <w:p>
            <w:pPr>
              <w:pStyle w:val="Compact"/>
              <w:jc w:val="left"/>
            </w:pPr>
            <w:r>
              <w:t xml:space="preserve">Peso real ou cubado</w:t>
            </w:r>
          </w:p>
        </w:tc>
        <w:tc>
          <w:tcPr/>
          <w:p>
            <w:pPr>
              <w:pStyle w:val="Compact"/>
              <w:jc w:val="left"/>
            </w:pPr>
            <w:r>
              <w:t xml:space="preserve">Lacuna</w:t>
            </w:r>
          </w:p>
        </w:tc>
        <w:tc>
          <w:tcPr/>
          <w:p>
            <w:pPr>
              <w:pStyle w:val="Compact"/>
              <w:jc w:val="left"/>
            </w:pPr>
            <w:r>
              <w:t xml:space="preserve">Média</w:t>
            </w:r>
          </w:p>
        </w:tc>
      </w:tr>
      <w:tr>
        <w:tc>
          <w:tcPr/>
          <w:p>
            <w:pPr>
              <w:pStyle w:val="Compact"/>
              <w:jc w:val="left"/>
            </w:pPr>
            <w:r>
              <w:t xml:space="preserve">13</w:t>
            </w:r>
          </w:p>
        </w:tc>
        <w:tc>
          <w:tcPr/>
          <w:p>
            <w:pPr>
              <w:pStyle w:val="Compact"/>
              <w:jc w:val="left"/>
            </w:pPr>
            <w:r>
              <w:t xml:space="preserve">FAQ usando a PROC-042 como fonte</w:t>
            </w:r>
          </w:p>
        </w:tc>
        <w:tc>
          <w:tcPr/>
          <w:p>
            <w:pPr>
              <w:pStyle w:val="Compact"/>
              <w:jc w:val="left"/>
            </w:pPr>
            <w:r>
              <w:t xml:space="preserve">Gera ambiguidade</w:t>
            </w:r>
          </w:p>
        </w:tc>
        <w:tc>
          <w:tcPr/>
          <w:p>
            <w:pPr>
              <w:pStyle w:val="Compact"/>
              <w:jc w:val="left"/>
            </w:pPr>
            <w:r>
              <w:t xml:space="preserve">Média</w:t>
            </w:r>
          </w:p>
        </w:tc>
      </w:tr>
    </w:tbl>
    <w:p>
      <w:pPr>
        <w:pStyle w:val="BodyText"/>
      </w:pPr>
      <w:r>
        <w:t xml:space="preserve">A única contradição direta é a do desconto automático (ponto 4). Os riscos mais sérios, porém, vêm das regras informais sobre escolha de tabela (ponto 3) e sobre cargas perigosas (ponto 6), porque o atendimento já as aplica sem respaldo formal verificável.</w:t>
      </w:r>
    </w:p>
    <w:p>
      <w:pPr>
        <w:pStyle w:val="BodyText"/>
      </w:pPr>
      <w:r>
        <w:t xml:space="preserve">Posso gerar esta análise em Word, no mesmo padrão dos documentos anteriores, se for útil.</w:t>
      </w:r>
    </w:p>
    <w:bookmarkEnd w:id="75"/>
    <w:bookmarkEnd w:id="76"/>
    <w:bookmarkEnd w:id="77"/>
    <w:sectPr>
      <w:pgSz w:w="11906" w:h="16838"/>
      <w:pgMar w:top="1134" w:right="1134" w:bottom="1134" w:left="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1"/>
        <w:szCs w:val="21"/>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2400"/>
      <w:jc w:val="left"/>
    </w:pPr>
    <w:rPr>
      <w:rFonts w:ascii="Calibri" w:hAnsi="Calibri" w:cs="Calibri" w:eastAsia="Calibri"/>
      <w:b/>
      <w:bCs/>
      <w:color w:val="1F3864"/>
      <w:sz w:val="48"/>
      <w:szCs w:val="48"/>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hAnsi="Calibri" w:cs="Calibri" w:eastAsia="Calibri"/>
      <w:b/>
      <w:bCs/>
      <w:color w:val="1F3864"/>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hAnsi="Calibri" w:cs="Calibri" w:eastAsia="Calibri"/>
      <w:b/>
      <w:bCs/>
      <w:color w:val="1F3864"/>
      <w:sz w:val="28"/>
      <w:szCs w:val="28"/>
    </w:rPr>
  </w:style>
  <w:style w:styleId="Heading3" w:type="paragraph">
    <w:name w:val="Heading 3"/>
    <w:basedOn w:val="Normal"/>
    <w:next w:val="BodyText"/>
    <w:uiPriority w:val="9"/>
    <w:unhideWhenUsed/>
    <w:qFormat/>
    <w:pPr>
      <w:keepNext/>
      <w:keepLines/>
      <w:spacing w:after="120" w:before="240"/>
      <w:outlineLvl w:val="2"/>
    </w:pPr>
    <w:rPr>
      <w:rFonts w:ascii="Calibri" w:hAnsi="Calibri" w:cs="Calibri" w:eastAsia="Calibri"/>
      <w:b/>
      <w:bCs/>
      <w:color w:val="1F3864"/>
      <w:sz w:val="24"/>
      <w:szCs w:val="24"/>
    </w:rPr>
  </w:style>
  <w:style w:styleId="Heading4" w:type="paragraph">
    <w:name w:val="Heading 4"/>
    <w:basedOn w:val="Normal"/>
    <w:next w:val="BodyText"/>
    <w:uiPriority w:val="9"/>
    <w:unhideWhenUsed/>
    <w:qFormat/>
    <w:pPr>
      <w:keepNext/>
      <w:keepLines/>
      <w:spacing w:after="120" w:before="200"/>
      <w:outlineLvl w:val="3"/>
    </w:pPr>
    <w:rPr>
      <w:rFonts w:ascii="Calibri" w:hAnsi="Calibri" w:cs="Calibri" w:eastAsia="Calibri"/>
      <w:b/>
      <w:bCs/>
      <w:color w:val="1F3864"/>
      <w:sz w:val="22"/>
      <w:szCs w:val="22"/>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val="1F3864"/>
      <w:sz w:val="24"/>
      <w:szCs w:val="24"/>
    </w:rPr>
  </w:style>
  <w:style w:styleId="BlockText" w:type="paragraph">
    <w:name w:val="Block Text"/>
    <w:basedOn w:val="BodyText"/>
    <w:next w:val="BodyText"/>
    <w:uiPriority w:val="9"/>
    <w:unhideWhenUsed/>
    <w:qFormat/>
    <w:pPr>
      <w:spacing w:after="100" w:before="100"/>
      <w:pBdr>
        <w:left w:val="single" w:sz="18" w:space="8" w:color="1F3864"/>
      </w:pBdr>
      <w:shd w:val="clear" w:color="auto" w:fill="EEF2F8"/>
      <w:spacing w:after="0" w:before="0"/>
      <w:ind w:firstLine="0" w:left="300" w:right="20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szCs w:val="19"/>
    </w:rPr>
    <w:tblPr>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type="dxa" w:w="50"/>
        <w:left w:type="dxa" w:w="108"/>
        <w:bottom w:type="dxa" w:w="50"/>
        <w:right w:type="dxa" w:w="108"/>
      </w:tblCellMar>
    </w:tblPr>
    <w:tblStylePr w:type="firstRow">
      <w:tblPr>
        <w:jc w:val="left"/>
        <w:tblInd w:type="dxa" w:w="0"/>
      </w:tblPr>
      <w:trPr>
        <w:jc w:val="left"/>
      </w:trPr>
      <w:tcPr>
        <w:shd w:val="clear" w:color="auto" w:fill="1F3864"/>
        <w:vAlign w:val="bottom"/>
        <w:tcBorders>
          <w:bottom w:val="single"/>
        </w:tcBorders>
      </w:tcPr>
      <w:rPr>
        <w:b/>
        <w:color w:val="FFFFFF"/>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val="1F386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Prompts e Outputs</dc:title>
  <dc:creator/>
  <dc:language>pt-BR</dc:language>
  <cp:keywords/>
  <dcterms:created xsi:type="dcterms:W3CDTF">2026-09-23T14:33:32Z</dcterms:created>
  <dcterms:modified xsi:type="dcterms:W3CDTF">2026-09-23T14:33:32Z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23/09/2026</vt:lpwstr>
  </property>
  <property fmtid="{D5CDD505-2E9C-101B-9397-08002B2CF9AE}" pid="3" name="subtitle">
    <vt:lpwstr>Análise de negócio da documentação de atendimento, devolução, frete especial e SLA</vt:lpwstr>
  </property>
  <property fmtid="{D5CDD505-2E9C-101B-9397-08002B2CF9AE}" pid="4" name="toc-title">
    <vt:lpwstr>Sumário</vt:lpwstr>
  </property>
</Properties>
</file>