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3864"/>
          <w:sz w:val="44"/>
          <w:szCs w:val="44"/>
        </w:rPr>
        <w:t xml:space="preserve">Mapa de Riscos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Riscos consolidados a partir das três etapas de análise</w:t>
      </w:r>
    </w:p>
    <w:p>
      <w:pPr>
        <w:spacing w:after="120"/>
      </w:pPr>
      <w:r>
        <w:t xml:space="preserve">Tipo: Análise de negócio</w:t>
      </w:r>
    </w:p>
    <w:p>
      <w:pPr>
        <w:spacing w:after="120"/>
      </w:pPr>
      <w:r>
        <w:t xml:space="preserve">Data: 23/09/2026</w:t>
      </w:r>
    </w:p>
    <w:p>
      <w:pPr>
        <w:spacing w:after="120"/>
      </w:pPr>
      <w:r>
        <w:t xml:space="preserve">Status: Rascunho para validação</w:t>
      </w:r>
    </w:p>
    <w:p>
      <w:r>
        <w:br w:type="page"/>
      </w:r>
    </w:p>
    <w:p>
      <w:pPr>
        <w:pStyle w:val="Heading1"/>
        <w:keepNext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Objetivo e método</w:t>
      </w:r>
    </w:p>
    <w:p>
      <w:pPr>
        <w:spacing w:after="120"/>
      </w:pPr>
      <w:r>
        <w:t xml:space="preserve">Este documento consolida os riscos identificados nas três etapas de análise (mapa de temas, análise do PROC-042 v1 e cruzamento com o FAQ). Cada risco decorre de um gap, ambiguidade ou regra informal já registrada nas etapas. Nenhuma regra nova foi criada.</w:t>
      </w:r>
    </w:p>
    <w:p>
      <w:pPr>
        <w:pBdr>
          <w:left w:val="single" w:color="BF9000" w:sz="18" w:space="6"/>
        </w:pBdr>
        <w:shd w:fill="FFF2CC" w:color="auto" w:val="clear"/>
        <w:spacing w:after="160"/>
      </w:pPr>
      <w:r>
        <w:rPr>
          <w:b/>
          <w:bCs/>
        </w:rPr>
        <w:t xml:space="preserve">Atenção: </w:t>
      </w:r>
      <w:r>
        <w:t xml:space="preserve">probabilidade e impacto são estimativas qualitativas feitas a partir da documentação disponível. Devem ser revisadas pelas áreas responsáveis, que conhecem a frequência real dos casos.</w:t>
      </w:r>
    </w:p>
    <w:p>
      <w:pPr>
        <w:pStyle w:val="Heading2"/>
        <w:keepNext/>
      </w:pPr>
      <w:r>
        <w:t xml:space="preserve">Escalas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79"/>
        <w:gridCol w:w="2579"/>
        <w:gridCol w:w="258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Baixa / Baixo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Média / Médio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Alta / Alto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Situação rara ou dependente de combinação incomum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Situação plausível no dia a dia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Situação já praticada ou orientada pelo FAQ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Impacto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Retrabalho pontual, sem efeito para o cliente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Perda financeira limitada, insatisfação ou retrabalho recorrente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Risco regulatório, de segurança, jurídico ou perda financeira relevante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Nível do risco = probabilidade × impacto (1 a 3 cada): Crítico (9), Alto (6), Médio (3 a 4), Baixo (1 a 2).</w:t>
      </w:r>
    </w:p>
    <w:p>
      <w:r>
        <w:br w:type="page"/>
      </w:r>
    </w:p>
    <w:p>
      <w:pPr>
        <w:pStyle w:val="Heading1"/>
        <w:keepNext/>
      </w:pPr>
      <w:r>
        <w:t xml:space="preserve">2. Mapa de calor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12"/>
        <w:gridCol w:w="2612"/>
        <w:gridCol w:w="2612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Baixo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Médio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Alto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 Alta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Médio</w:t>
            </w:r>
          </w:p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Alto</w:t>
            </w:r>
          </w:p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R03, R04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Crítico</w:t>
            </w:r>
          </w:p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R01, R02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 Média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Baixo</w:t>
            </w:r>
          </w:p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Médio</w:t>
            </w:r>
          </w:p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R09, R10, R11, R12, R13, R14, R16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Alto</w:t>
            </w:r>
          </w:p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R05, R06, R07, R08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 Baixa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Baixo</w:t>
            </w:r>
          </w:p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Baixo</w:t>
            </w:r>
          </w:p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Médio</w:t>
            </w:r>
          </w:p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R15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Distribuição: 2 riscos críticos, 6 altos e 8 médios. Nenhum risco foi classificado como baixo, o que reflete o fato de a análise ter priorizado gaps com efeito real no negócio.</w:t>
      </w:r>
    </w:p>
    <w:p>
      <w:pPr>
        <w:pStyle w:val="Heading1"/>
        <w:keepNext/>
      </w:pPr>
      <w:r>
        <w:t xml:space="preserve">3. Registro de riscos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050"/>
        <w:gridCol w:w="1938"/>
        <w:gridCol w:w="900"/>
        <w:gridCol w:w="1000"/>
        <w:gridCol w:w="110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R01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Cobrança pela tabela errada por vigência indefinida do PROC-042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Financeiro e comercial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7B0000"/>
                <w:sz w:val="19"/>
                <w:szCs w:val="19"/>
              </w:rPr>
              <w:t xml:space="preserve">Crítico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R02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FAQ informal usado como fonte oficial pelo atendimento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Governança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7B0000"/>
                <w:sz w:val="19"/>
                <w:szCs w:val="19"/>
              </w:rPr>
              <w:t xml:space="preserve">Crítico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R03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Promessa de desconto automático sem previsão no procedimento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Financeiro e comercial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R04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Prazo de entrega prometido de forma incorreta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Atendimento e cliente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R05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Cotação ou embarque de carga perigosa sem o tratamento exigido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Regulatório e segurança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R06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Classificação incorreta de incidentes críticos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Atendimento e operação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R07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Devoluções de exceção sem fluxo definido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Operacional e jurídico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R08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Promessa de cobertura de seguro sem política oficial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Financeiro e jurídico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R09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Cotação de frete especial subestimada por cálculo incompleto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Financeiro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R10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Enquadramento inconsistente de cargas no frete especial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Operacional e tecnologia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R11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SLA parametrizado com documento possivelmente desatualizado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Governança e tecnologia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R12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Contagem divergente de prazos de devolução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Atendimento e cliente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R13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 danificada tratada como devolução comum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Jurídico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R14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Automação ou desenvolvimento com regras ambíguas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Tecnologia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R15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Aprovação de cargas acima de 5.000 kg sem processo operacional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Operacional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R16</w:t>
            </w:r>
          </w:p>
        </w:tc>
        <w:tc>
          <w:tcPr>
            <w:tcW w:type="dxa" w:w="4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Decisões tomadas com base em hipóteses não validadas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Governança da análise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4. Causas-raiz e relações entre riscos</w:t>
      </w:r>
    </w:p>
    <w:p>
      <w:pPr>
        <w:spacing w:after="120"/>
      </w:pPr>
      <w:r>
        <w:t xml:space="preserve">Vários riscos compartilham as mesmas causas. Tratar as causas-raiz reduz mais de um risco ao mesmo tempo.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40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Causa-raiz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Riscos afetados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 do tratamento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FAQ informal sem responsável e sem validação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R02, R03, R04, R05, R08, R09, R13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Corrigir e governar o FAQ reduz a maior parte dos riscos de atendimento.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Vigência não declarada dos documentos (PROC-042 v1, SLA-2024)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R01, R11, R14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a vigência dá base segura para cálculo, SLA e desenvolvimento.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Documentos referenciados e ausentes (PROC-043, tabela mensal, prazo por rota)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R04, R05, R09, R14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Localizar esses documentos fecha lacunas de cálculo, prazo e cargas perigosas.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Definições operacionais ausentes (limites, peso, eventos de início de prazo, gatilhos)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R06, R10, R12, R14, R15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Definições objetivas permitem padronizar o atendimento e automatizar.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de análise parcial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R16 e, indiretamente, todos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Ler os documentos completos confirma ou descarta hipóteses antes de decisões.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5. Detalhamento por risco</w:t>
      </w:r>
    </w:p>
    <w:p>
      <w:pPr>
        <w:pStyle w:val="Heading2"/>
        <w:keepNext/>
      </w:pPr>
      <w:r>
        <w:t xml:space="preserve">R01. Cobrança pela tabela errada por vigência indefinida do PROC-042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Financeiro e comercial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PROC-042 v1 não declara vigência e menciona uma versão que não faz parte da base. O FAQ (item 8) cria critério informal: usar a versão mais recente e verificar o contrato só se o cliente reclamar.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1 (tema 5), etapa 2 (ponto 11), etapa 3 (ponto 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7B0000"/>
                <w:sz w:val="19"/>
                <w:szCs w:val="19"/>
              </w:rPr>
              <w:t xml:space="preserve">Crítico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Diretoria Comercial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formalmente a vigência do PROC-042 v1.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e publicar o critério de escolha de tabela (contrato, chamado ou outro).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Verificar o contrato antes da cotação, e não após reclamação.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Reclamações de valor de frete especial; divergência entre valor cotado e contratado.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R02. FAQ informal usado como fonte oficial pelo atendimento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Governança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FAQ não tem responsável formal nem validação, mas cita a PROC-042 como fonte e é usado na prática. Já diverge do procedimento em pelo menos um ponto (desconto).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1 (tema 1), etapa 2 (ponto 12), etapa 3 (ponto 13)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7B0000"/>
                <w:sz w:val="19"/>
                <w:szCs w:val="19"/>
              </w:rPr>
              <w:t xml:space="preserve">Crítico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Diretoria Comercial, Operações e Compliance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um responsável formal pelo FAQ.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Revisar os itens que citam documentos formais (8, 22, 27, 32, 45).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Sinalizar no FAQ quais respostas estão validadas.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itens do FAQ sem validação; casos resolvidos com base no FAQ que depois foram revertidos.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R03. Promessa de desconto automático sem previsão no procedimento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Financeiro e comercial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PROC-042 v1 exige negociação pelo Comercial e aditivo contratual. O FAQ (item 45) afirma que o desconto é automático.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2 (ponto 7), etapa 3 (ponto 4)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se o desconto é negociado ou automático.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Corrigir o item 45 do FAQ conforme a resposta.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Orientar o atendimento a não confirmar desconto sem aditivo.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Solicitações de desconto de clientes com mais de 10 fretes por mês; descontos aplicados sem aditivo.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R04. Prazo de entrega prometido de forma incorreta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Atendimento e cliente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"prazo padrão da rota" não está definido; o FAQ (item 27) usa prazos informais por região; o tempo de autorização de carga perigosa (item 32) e de aprovação acima de 5.000 kg não está previsto no prazo.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1 (tema 7), etapa 2 (pontos 6 e 9), etapa 3 (pontos 7, 8 e 9)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Publicar a tabela oficial de prazo padrão por rota.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se os tempos de autorização e aprovação entram no prazo informado.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Atualizar o item 27 do FAQ.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Entregas fora do prazo informado; chamados de atraso para fretes dentro do prazo.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R05. Cotação ou embarque de carga perigosa sem o tratamento exigido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Regulatório e segurança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PROC-042 v1 remete à PROC-043, que não faz parte da base. O FAQ (item 32) descreve autorização do Compliance e documentação ANTT sem fonte formal conhecida, e o item 8 não menciona a PROC-043.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1 (tema 9), etapa 2 (pontos 8 e 10), etapa 3 (ponto 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Compliance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Localizar e validar a PROC-043.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se a autorização do Compliance é regra oficial e para quais fretes vale.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Orientar o atendimento a escalar sempre que houver carga perigosa.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Cotações de carga perigosa sem referência à PROC-043; embarques sem registro de autorização.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R06. Classificação incorreta de incidentes críticos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Atendimento e operação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Os gatilhos do SLA-2024 são subjetivos ("múltiplos chamados", "risco à segurança", 6 horas sem definir se úteis). O FAQ (item 27) usa limite de R$ 50 mil para prioridade alta, enquanto o resumo do SLA-2024 cita R$ 100 mil para incidente crítico.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1 (tema 11), etapa 3 (itens fora do escopo)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Atendimento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critérios objetivos para cada gatilho.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a relação entre a prioridade do FAQ e o incidente crítico do SLA.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Avaliar detecção automática de cargas sem atualização.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Incidentes críticos identificados tardiamente; divergência de prioridade entre atendentes.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R07. Devoluções de exceção sem fluxo definido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Operacional e jurídico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POL-001, pelo resumo, exclui do processo padrão cargas refrigeradas com quebra da cadeia de frio e cargas com lacre violado, mas não indica o processo a seguir.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1 (tema 4)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Jurídico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Verificar no texto integral da POL-001 se existe fluxo para essas cargas.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não existir, definir área responsável e evidências exigidas.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Casos de devolução parados ou resolvidos por exceção.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R08. Promessa de cobertura de seguro sem política oficial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Financeiro e jurídico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Seguro aparece apenas no FAQ (item 22), com percentuais de 0,3% e 0,8% e ressalva sobre contratos antigos, sem documento formal no corpus.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1 (tema 12), etapa 3 (itens fora do escopo)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 e Jurídico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Localizar a política oficial de seguro ou confirmar que não existe.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Validar os percentuais do FAQ com o Comercial.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Sinistros contestados; divergência entre percentual informado e cobrado.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R09. Cotação de frete especial subestimada por cálculo incompleto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Financeiro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FAQ (item 8) menciona apenas os multiplicadores regionais e omite o valor base e o fator de peso da fórmula do PROC-042 v1.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2 (ponto 1), etapa 3 (ponto 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 e Operações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se a cotação é manual ou sistêmica.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Corrigir o item 8 do FAQ com a fórmula completa.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Diferença entre valor cotado pelo atendimento e valor faturado.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R10. Enquadramento inconsistente de cargas no frete especial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Operacional e tecnologia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PROC-042 v1 é inconsistente no limite de 500 kg, não trata pesos fracionados entre faixas e não define peso real ou cubado.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1 (tema 6), etapa 2 (pontos 4 e 5), etapa 3 (pontos 1 e 12)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Comercial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se 500 kg é inclusivo.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regra de arredondamento entre faixas.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o tipo de peso usado.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Cargas próximas aos limites de faixa com tratamento diferente.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R11. SLA parametrizado com documento possivelmente desatualizado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Governança e tecnologia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documento se chama SLA-2024 e a análise ocorre em 2026, sem confirmação de vigência. Conceitos como primeira resposta, resolução e pausa não estão definidos no resumo.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1 (tema 10)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Tecnologia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a vigência do SLA-2024.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formalmente primeira resposta, resolução e regras de pausa.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Indicadores de SLA contestados; diferença entre SLA contratado e parametrizado.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R12. Contagem divergente de prazos de devolução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Atendimento e cliente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Pelo resumo, a POL-001 não define o evento que marca o recebimento nem o início de cada etapa (triagem, coleta, reembolso). Dias e horas úteis não têm definição comum.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1 (temas 2, 3 e 14)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o evento sistêmico que inicia cada prazo.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Adotar calendário único de dias e horas úteis.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Devoluções recusadas por prazo e depois contestadas.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R13. Carga danificada tratada como devolução comum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Jurídico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FAQ (item 38) descreve um fluxo informal (registro em 48h, e-mail de sinistros, Jurídico) sem documento formal na base.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3 (itens fora do escopo)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Jurídico e Atendimento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se o fluxo do item 38 é oficial.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Formalizar a diferença entre devolução e sinistro.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Ocorrências de avaria registradas como devolução.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R14. Automação ou desenvolvimento com regras ambíguas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Tecnologia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Falta de arredondamento, faixas incompletas, regiões não delimitadas, calendário indefinido e gatilhos subjetivos impedem implementação sem interpretação.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1 (temas 6, 11 e 14), etapa 2 (pontos 1, 3 e 4)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Tecnologia com Comercial e Operações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Condicionar a implementação à validação das perguntas de alta criticidade.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as decisões de interpretação e seus responsáveis.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Retrabalho em regras de cálculo; divergência entre sistema e procedimento.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R15. Aprovação de cargas acima de 5.000 kg sem processo operacional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Operacional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 PROC-042 v1 define o aprovador (gerente de operações regional), mas não o canal, o prazo nem o tratamento de recusa. O FAQ não orienta o atendimento.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Etapa 1 (tema 7), etapa 2 (ponto 9), etapa 3 (ponto 9)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canal, prazo e registro da aprovação.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Incluir orientação no FAQ.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Embarques acima de 5.000 kg sem registro de aprovação.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R16. Decisões tomadas com base em hipóteses não validadas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Governança da análise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Causa (gap de origem)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Apenas dois dos quatro documentos foram lidos integralmente, o FAQ tem 9 de 47 itens, e POL-001 e SLA-2024 foram analisados só pelo resumo. O registro foi corrigido por sobrescrita.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Etapa(s) de origem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Transversal às três etapas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Nível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Área responsável sugerida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Responsável pela análise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Tratamento sugerido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Obter o texto integral de POL-001, SLA-2024 e do FAQ completo.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Tratar todos os achados como hipóteses até validação formal.</w:t>
            </w:r>
          </w:p>
          <w:p>
            <w:pPr>
              <w:keepNext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Manter histórico de revisões.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Indicador de acompanhamento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Achados usados em decisões sem registro de validação.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keepNext/>
      </w:pPr>
      <w:r>
        <w:t xml:space="preserve">6. Priorização do tratamento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38"/>
        <w:gridCol w:w="1900"/>
        <w:gridCol w:w="2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Riscos tratados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a vigência do PROC-042 v1 e o critério de escolha de tabela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R01, R14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Diretoria Comercial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responsável pelo FAQ e revisar os itens 8, 22, 27, 32 e 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R02, R03, R04, R08, R09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Comercial, Operações e Compliance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Localizar a PROC-043 e confirmar as regras de cargas perigosas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Compliance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Definir gatilhos objetivos de incidente crítico e confirmar a vigência do SLA-2024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R06, R11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Tecnologia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Verificar fluxos de devolução de exceção, seguro e sinistro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R07, R08, R13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Jurídico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Fechar definições operacionais (500 kg, peso, prazos, aprovação acima de 5.000 kg)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R10, R12, R15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Operações e Comercial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Completar a base de análise e manter histórico de revisões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Responsável pela análise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7. Conclusão</w:t>
      </w:r>
    </w:p>
    <w:p>
      <w:pPr>
        <w:spacing w:after="120"/>
      </w:pPr>
      <w:r>
        <w:t xml:space="preserve">Os dois riscos críticos, a vigência indefinida do PROC-042 e o uso do FAQ informal como fonte oficial, são também as principais causas-raiz dos demais. O risco de cargas perigosas tem probabilidade estimada como média, mas deve ser tratado com prioridade por envolver segurança e exigências regulatórias. Recomenda-se revisar este mapa depois das respostas das áreas, ajustando probabilidade e impacto com dados reais de ocorrência.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Mapa de Riscos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2026-09-23T17:52:17.389Z</dcterms:created>
  <dcterms:modified xsi:type="dcterms:W3CDTF">2026-09-23T17:52:17.389Z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