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</w:rPr>
        <w:t>CENÁRIO 3 — GOVERNANÇA E VALIDAÇÃO</w:t>
      </w:r>
    </w:p>
    <w:p>
      <w:pPr>
        <w:jc w:val="center"/>
      </w:pPr>
      <w:r>
        <w:rPr>
          <w:rFonts w:ascii="Aptos" w:hAnsi="Aptos" w:eastAsia="Aptos"/>
          <w:b/>
          <w:sz w:val="28"/>
        </w:rPr>
        <w:t>Product Specialist</w:t>
      </w:r>
    </w:p>
    <w:p>
      <w:pPr>
        <w:jc w:val="center"/>
      </w:pPr>
      <w:r>
        <w:rPr>
          <w:rFonts w:ascii="Aptos" w:hAnsi="Aptos" w:eastAsia="Aptos"/>
          <w:i/>
        </w:rPr>
        <w:t>Trilha de Certificação AI First — DGS / DB1 Global Software</w:t>
      </w:r>
    </w:p>
    <w:p/>
    <w:p>
      <w:r>
        <w:rPr>
          <w:rFonts w:ascii="Aptos" w:hAnsi="Aptos" w:eastAsia="Aptos"/>
          <w:b/>
        </w:rPr>
        <w:t>Objetivo do cenário</w:t>
      </w:r>
      <w:r>
        <w:rPr>
          <w:rFonts w:ascii="Aptos" w:hAnsi="Aptos" w:eastAsia="Aptos"/>
        </w:rPr>
        <w:t xml:space="preserve"> — Validar criticamente as respostas do assistente de IA antes do go-live e definir um harness de produto capaz de sustentar melhoria contínua sem regressão de qualidade, preservando os guardrails já definidos nas fases anteriores.</w:t>
      </w:r>
    </w:p>
    <w:p>
      <w:pPr>
        <w:pStyle w:val="Heading1"/>
      </w:pPr>
      <w:r>
        <w:rPr>
          <w:rFonts w:ascii="Aptos" w:hAnsi="Aptos" w:eastAsia="Aptos"/>
        </w:rPr>
        <w:t>Exercício 3.1 — Revisão crítica das respostas do assistente</w:t>
      </w:r>
    </w:p>
    <w:p>
      <w:pPr>
        <w:pStyle w:val="Heading2"/>
      </w:pPr>
      <w:r>
        <w:rPr>
          <w:rFonts w:ascii="Aptos" w:hAnsi="Aptos" w:eastAsia="Aptos"/>
        </w:rPr>
        <w:t>1. Objetivo</w:t>
      </w:r>
    </w:p>
    <w:p>
      <w:r>
        <w:rPr>
          <w:rFonts w:ascii="Aptos" w:hAnsi="Aptos" w:eastAsia="Aptos"/>
        </w:rPr>
        <w:t>Avaliar uma amostra de respostas do assistente em staging, verificando precisão factual, confiabilidade da fonte, aderência às regras de produto e comportamento esperado em situações de ausência ou fragilidade documental. A análise utiliza como fonte de verdade a documentação simulada da NovaTech.</w:t>
      </w:r>
    </w:p>
    <w:p>
      <w:pPr>
        <w:pStyle w:val="Heading2"/>
      </w:pPr>
      <w:r>
        <w:rPr>
          <w:rFonts w:ascii="Aptos" w:hAnsi="Aptos" w:eastAsia="Aptos"/>
        </w:rPr>
        <w:t>2. Avaliação própria — realizada antes do segundo avaliador de IA</w:t>
      </w:r>
    </w:p>
    <w:p>
      <w:r>
        <w:t>A tabela abaixo preserva o julgamento inicial do Product Specialist, realizado antes da comparação com o segundo avaliador de IA, conforme exigido pelo exercício. Os refinamentos identificados posteriormente pelo Claude aparecem somente na seção de comparação e na conclusão pós-comparação.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#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Pergunta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Avaliação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Justificativa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Referência interna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Qual o prazo de devolução para produtos standard?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A POL-001 estabelece prazo de até 7 dias úteis após o recebimento e determina abertura de chamado no Portal do Cliente com documentação e fotos. A regra vale para todos os tipos de cliente, salvo exceções de carga.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POL-001, seções 1, 3.1 e 3.3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Meu cliente é Silver. Qual o prazo de resolução?</w:t>
            </w:r>
          </w:p>
        </w:tc>
        <w:tc>
          <w:tcPr>
            <w:tcW w:type="dxa" w:w="1987"/>
          </w:tcPr>
          <w:p>
            <w:r>
              <w:t>Correta</w:t>
            </w:r>
          </w:p>
        </w:tc>
        <w:tc>
          <w:tcPr>
            <w:tcW w:type="dxa" w:w="1987"/>
          </w:tcPr>
          <w:p>
            <w:r>
              <w:t>O SLA-2024 estabelece para clientes Silver tempo de resolução de chamados gerais de até 48 horas úteis. Na análise inicial, a resposta foi considerada adequada por utilizar o prazo documentado para esse tipo de chamado.</w:t>
            </w:r>
          </w:p>
        </w:tc>
        <w:tc>
          <w:tcPr>
            <w:tcW w:type="dxa" w:w="1987"/>
          </w:tcPr>
          <w:p>
            <w:r>
              <w:t>SLA-2024, seção 2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Posso devolver carga perigosa classe 3?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A POL-001 informa que cargas perigosas das classes 1 a 6 da ANTT não são elegíveis para devolução pelo processo padrão. Classe 3 está explicitamente incluída. A política orienta tratamento individual pela Gestão de Riscos.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POL-001, seção 3.2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Qual a política para carga danificada durante transporte?</w:t>
            </w:r>
          </w:p>
        </w:tc>
        <w:tc>
          <w:tcPr>
            <w:tcW w:type="dxa" w:w="1987"/>
          </w:tcPr>
          <w:p>
            <w:r>
              <w:t>Incorreta — alucinação</w:t>
            </w:r>
          </w:p>
        </w:tc>
        <w:tc>
          <w:tcPr>
            <w:tcW w:type="dxa" w:w="1987"/>
          </w:tcPr>
          <w:p>
            <w:r>
              <w:t>Não há política formal específica na base que sustente o processo descrito como regra oficial para carga danificada. O tema aparece como gap documental e a orientação disponível está no FAQ informal. Por isso, a resposta foi classificada como alucinação.</w:t>
            </w:r>
          </w:p>
        </w:tc>
        <w:tc>
          <w:tcPr>
            <w:tcW w:type="dxa" w:w="1987"/>
          </w:tcPr>
          <w:p>
            <w:r>
              <w:t>Anexo A — gap 1; FAQ-Atendimento, item 38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Qual o SLA do cliente Enterprise?</w:t>
            </w:r>
          </w:p>
        </w:tc>
        <w:tc>
          <w:tcPr>
            <w:tcW w:type="dxa" w:w="1987"/>
          </w:tcPr>
          <w:p>
            <w:r>
              <w:t>Correta</w:t>
            </w:r>
          </w:p>
        </w:tc>
        <w:tc>
          <w:tcPr>
            <w:tcW w:type="dxa" w:w="1987"/>
          </w:tcPr>
          <w:p>
            <w:r>
              <w:t>O SLA-2024 estabelece somente três tiers: Gold, Silver e Standard. Como Enterprise não está documentado, o assistente agiu corretamente ao reconhecer a ausência e não inventar um SLA.</w:t>
            </w:r>
          </w:p>
        </w:tc>
        <w:tc>
          <w:tcPr>
            <w:tcW w:type="dxa" w:w="1987"/>
          </w:tcPr>
          <w:p>
            <w:r>
              <w:t>SLA-2024, seção 1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Posso enviar carga perigosa com frete expresso?</w:t>
            </w:r>
          </w:p>
        </w:tc>
        <w:tc>
          <w:tcPr>
            <w:tcW w:type="dxa" w:w="1987"/>
          </w:tcPr>
          <w:p>
            <w:r>
              <w:t>Problemática — fonte não confiável</w:t>
            </w:r>
          </w:p>
        </w:tc>
        <w:tc>
          <w:tcPr>
            <w:tcW w:type="dxa" w:w="1987"/>
          </w:tcPr>
          <w:p>
            <w:r>
              <w:t>A informação existe no FAQ-Atendimento, item 32, porém o FAQ é informal, não controlado e não validado. Por envolver carga perigosa, a resposta não deveria apresentar a orientação como regra confirmada sem respaldo em fonte formal.</w:t>
            </w:r>
          </w:p>
        </w:tc>
        <w:tc>
          <w:tcPr>
            <w:tcW w:type="dxa" w:w="1987"/>
          </w:tcPr>
          <w:p>
            <w:r>
              <w:t>FAQ-Atendimento, item 32</w:t>
            </w:r>
          </w:p>
        </w:tc>
      </w:tr>
    </w:tbl>
    <w:p>
      <w:pPr>
        <w:pStyle w:val="Heading2"/>
      </w:pPr>
      <w:r>
        <w:t>3. Classificação inicial dos problemas identificados</w:t>
      </w:r>
    </w:p>
    <w:p>
      <w:pPr>
        <w:pStyle w:val="ListBullet"/>
      </w:pPr>
      <w:r>
        <w:t>Resposta 4 — Incorreta / alucinação: O assistente apresentou como política formal um processo que não possui documento formal específico na base. O Anexo A registra o tema de carga danificada como gap documental, enquanto o conteúdo sobre o processo aparece somente no FAQ informal. Assim, a resposta não deveria apresentar essa orientação como política oficial.</w:t>
      </w:r>
    </w:p>
    <w:p>
      <w:pPr>
        <w:pStyle w:val="ListBullet"/>
      </w:pPr>
      <w:r>
        <w:t>Resposta 6 — Problemática / fonte não confiável: O conteúdo existe no FAQ-Atendimento, item 32, mas o FAQ é informal, não controlado e não validado por Compliance ou Operações. Como se trata de uma informação crítica sobre carga perigosa, a orientação não deve ser apresentada como regra confirmada sem respaldo em documentação formal.</w:t>
      </w:r>
    </w:p>
    <w:p>
      <w:pPr>
        <w:pStyle w:val="Heading2"/>
      </w:pPr>
      <w:r>
        <w:rPr>
          <w:rFonts w:ascii="Aptos" w:hAnsi="Aptos" w:eastAsia="Aptos"/>
        </w:rPr>
        <w:t>4. Comportamento esperado do assistente</w:t>
      </w:r>
    </w:p>
    <w:p>
      <w:pPr>
        <w:pStyle w:val="ListBullet"/>
      </w:pPr>
      <w:r>
        <w:rPr>
          <w:rFonts w:ascii="Aptos" w:hAnsi="Aptos" w:eastAsia="Aptos"/>
        </w:rPr>
        <w:t>Quando não houver documento formal que sustente uma regra, o assistente deve informar que não encontrou respaldo normativo suficiente e direcionar para validação humana ou área responsável.</w:t>
      </w:r>
    </w:p>
    <w:p>
      <w:pPr>
        <w:pStyle w:val="ListBullet"/>
      </w:pPr>
      <w:r>
        <w:rPr>
          <w:rFonts w:ascii="Aptos" w:hAnsi="Aptos" w:eastAsia="Aptos"/>
        </w:rPr>
        <w:t>Informações vindas de FAQ informal não devem ser tratadas com o mesmo nível de confiança de documentos normativos, procedimentais ou contratuais.</w:t>
      </w:r>
    </w:p>
    <w:p>
      <w:pPr>
        <w:pStyle w:val="ListBullet"/>
      </w:pPr>
      <w:r>
        <w:rPr>
          <w:rFonts w:ascii="Aptos" w:hAnsi="Aptos" w:eastAsia="Aptos"/>
        </w:rPr>
        <w:t>Para temas críticos, especialmente carga perigosa, uma fonte informal deve acionar tratamento conservador e validação humana.</w:t>
      </w:r>
    </w:p>
    <w:p>
      <w:pPr>
        <w:pStyle w:val="ListBullet"/>
      </w:pPr>
      <w:r>
        <w:rPr>
          <w:rFonts w:ascii="Aptos" w:hAnsi="Aptos" w:eastAsia="Aptos"/>
        </w:rPr>
        <w:t>O assistente não deve inventar dados, completar lacunas por conhecimento geral ou converter experiência prática não validada em regra oficial.</w:t>
      </w:r>
    </w:p>
    <w:p>
      <w:pPr>
        <w:pStyle w:val="Heading2"/>
      </w:pPr>
      <w:r>
        <w:rPr>
          <w:rFonts w:ascii="Aptos" w:hAnsi="Aptos" w:eastAsia="Aptos"/>
        </w:rPr>
        <w:t>5. Segundo avaliador de IA — Claude</w:t>
      </w:r>
    </w:p>
    <w:p>
      <w:r>
        <w:t>A segunda avaliação foi realizada no Claude após a análise própria, com o entregável disponível e o Anexo A como base documental. Na rodada realizada no Claude, ele registrou como limitação que os textos literais das seis respostas não estavam presentes no conjunto efetivamente enviado a ele; por isso, seus achados foram tratados como segunda opinião e refinamento documental, sem substituir a análise própria do Product Specialist. A avaliação revisada manteve as classificações gerais e acrescentou fundamentos documentais complementares.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Resposta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Minha avaliação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Avaliação do Claude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Comparação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Concordância. Ambos reconhecem a POL-001 como fonte normativa adequada e o prazo de 7 dias úteis.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Correta, com ressalva de completude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Concordância com refinamento. Minha avaliação mantém a resposta como adequada ao exercício. O Claude acrescentou que 48h úteis vale para chamados gerais e 8h para incidentes críticos, reforçando a necessidade de delimitar o contexto em produção.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3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Concordância. Ambos reconhecem que carga perigosa classe 3 não é elegível para devolução pelo processo padrão.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Incorreta — alucinação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Incorreta — alucinação de autoridade + fonte não confiável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Concordância na classificação principal. O Claude refinou a taxonomia e identificou uma tensão aparente entre o FAQ item 38 e a POL-001 seção 3.5. Minha posição final é manter “alucinação” como classificação principal, conforme a régua oficial, usando “alucinação de autoridade” como explicação complementar.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Concordância. O Claude acrescentou que o SLA-2024 orienta encaminhar solicitações de SLA diferenciado ao Comercial. Esse refinamento foi incorporado ao comportamento esperado.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Problemática — fonte não confiável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Incorreta — fonte não confiável em tema crítico</w:t>
            </w:r>
          </w:p>
        </w:tc>
        <w:tc>
          <w:tcPr>
            <w:tcW w:type="dxa" w:w="2484"/>
            <w:vAlign w:val="center"/>
          </w:tcPr>
          <w:p>
            <w:r>
              <w:t>Divergência de severidade, não de causa raiz. Minha posição final mantém “problemática — fonte não confiável” porque essa classificação identifica a causa primária da falha: uso de fonte informal como base para uma regra crítica. A severidade do risco é tratada adicionalmente pelo HITL, que exige validação humana antes de qualquer compromisso sobre carga perigosa. O Claude a classificou como incorreta pelo risco operacional e pela ausência de respaldo normativo. Ambos convergem em que a resposta não pode ser apresentada como regra confirmada.</w:t>
            </w:r>
          </w:p>
        </w:tc>
      </w:tr>
    </w:tbl>
    <w:p>
      <w:r>
        <w:rPr>
          <w:rFonts w:ascii="Aptos" w:hAnsi="Aptos" w:eastAsia="Aptos"/>
        </w:rPr>
        <w:t>Síntese da comparação — Houve forte concordância entre a avaliação própria e a avaliação do Claude. Na resposta 2, o Claude acrescentou uma ressalva de completude: para Silver, o SLA é de até 48h úteis em chamados gerais e de até 8h em incidentes críticos. Na resposta 4, ambos identificaram o erro; o Claude acrescentou a noção de “alucinação de autoridade” e observou uma tensão aparente entre o FAQ item 38 e a POL-001 seção 3.5, que cobre apenas o custo da devolução por avaria em trânsito. Na resposta 5, o Claude destacou que solicitações de SLA diferenciado devem ser encaminhadas ao Comercial. Na resposta 6, houve divergência de severidade: a avaliação própria mantém a classificação “problemática — fonte não confiável”, alinhada ao critério oficial do exercício, enquanto o Claude a classificou como incorreta por se tratar de tema crítico sem respaldo normativo. Minha posição final é manter as classificações exigidas pela régua do exercício e incorporar os refinamentos documentais trazidos pelo segundo avaliador.</w:t>
      </w:r>
    </w:p>
    <w:p>
      <w:pPr>
        <w:pStyle w:val="Heading2"/>
      </w:pPr>
      <w:r>
        <w:rPr>
          <w:rFonts w:ascii="Aptos" w:hAnsi="Aptos" w:eastAsia="Aptos"/>
        </w:rPr>
        <w:t>6. Propostas de ajuste de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Caso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Tipo de ajuste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Proposta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4 — carga danificada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Prompt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Instruir o assistente a não apresentar como política oficial informações existentes apenas em fonte informal. Quando houver cobertura formal parcial, como a POL-001 seção 3.5, responder somente o que está documentado e sinalizar o gap para o restante.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4 — carga danificada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Interface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Exibir sinalização de ausência de política formal completa e diferenciar claramente informação normativa de orientação informal. Em caso de gap, orientar validação humana.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4 — carga danificada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Pipeline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Classificar fontes por nível de autoridade, priorizar POL/SLA/PROC e impedir respostas de alta confiança sustentadas apenas por FAQ. Registrar tensões entre fontes para revisão documental.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6 — carga perigosa + frete expresso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Pipeline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Aplicar hierarquia de fontes e exigir documento formal vigente para regras relacionadas a carga perigosa. Se a documentação pertinente estiver ausente ou em revisão, como a PROC-043, não autorizar o procedimento por inferência.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6 — carga perigosa + frete expresso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HITL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Encaminhar para validação humana da área responsável/Compliance quando houver tema crítico sustentado apenas por FAQ, ausência de norma formal ou documento pertinente em revisão.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6 — carga perigosa + frete expresso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Interface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Diferenciar visualmente conteúdo confirmado por documento formal de conteúdo informal. Para carga perigosa, apresentar aviso explícito de validação necessária antes de qualquer compromisso com o cliente.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7. Conclusão do exercício 3.1</w:t>
      </w:r>
    </w:p>
    <w:p>
      <w:r>
        <w:rPr>
          <w:rFonts w:ascii="Aptos" w:hAnsi="Aptos" w:eastAsia="Aptos"/>
        </w:rPr>
        <w:t>A revisão crítica confirmou que respostas fluentes e apresentadas com alta confiança não são necessariamente confiáveis. As respostas 1, 2, 3 e 5 permanecem adequadas; na resposta 2, registra-se a ressalva de escopo entre chamado geral e incidente crítico. A resposta 4 é classificada como incorreta por alucinação, pois apresenta como política formal um processo não sustentado por documento normativo específico. A resposta 6 é classificada como problemática por fonte não confiável, pois se apoia em FAQ informal para um tema crítico sem respaldo formal. A comparação com o Claude foi usada para refinar a análise, sem substituir o julgamento do Product Specialist. As ações propostas priorizam hierarquia de fontes, tratamento explícito de gaps, calibração de confiança, regression testing e validação humana para temas críticos.</w:t>
      </w:r>
    </w:p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Exercício 3.2 — Harness de produto para melhoria contínua</w:t>
      </w:r>
    </w:p>
    <w:p>
      <w:pPr>
        <w:pStyle w:val="Heading2"/>
      </w:pPr>
      <w:r>
        <w:rPr>
          <w:rFonts w:ascii="Aptos" w:hAnsi="Aptos" w:eastAsia="Aptos"/>
        </w:rPr>
        <w:t>1. Objetivo</w:t>
      </w:r>
    </w:p>
    <w:p>
      <w:r>
        <w:rPr>
          <w:rFonts w:ascii="Aptos" w:hAnsi="Aptos" w:eastAsia="Aptos"/>
        </w:rPr>
        <w:t>Definir como o assistente será evoluído após o go-live sem degradar respostas já corretas, sem romper os guardrails de produto e com pontos claros de validação humana antes de mudanças relevantes chegarem à produção.</w:t>
      </w:r>
    </w:p>
    <w:p>
      <w:pPr>
        <w:pStyle w:val="Heading2"/>
      </w:pPr>
      <w:r>
        <w:rPr>
          <w:rFonts w:ascii="Aptos" w:hAnsi="Aptos" w:eastAsia="Aptos"/>
        </w:rPr>
        <w:t>2. Princípios do harness de produto</w:t>
      </w:r>
    </w:p>
    <w:p>
      <w:pPr>
        <w:pStyle w:val="ListBullet"/>
      </w:pPr>
      <w:r>
        <w:rPr>
          <w:rFonts w:ascii="Aptos" w:hAnsi="Aptos" w:eastAsia="Aptos"/>
        </w:rPr>
        <w:t>Toda melhoria deve partir de uma evidência: feedback de usuário, falha identificada, lacuna documental, problema de retrieval ou necessidade de produto.</w:t>
      </w:r>
    </w:p>
    <w:p>
      <w:pPr>
        <w:pStyle w:val="ListBullet"/>
      </w:pPr>
      <w:r>
        <w:rPr>
          <w:rFonts w:ascii="Aptos" w:hAnsi="Aptos" w:eastAsia="Aptos"/>
        </w:rPr>
        <w:t>Mudanças em prompt, documentos, indexação ou comportamento devem passar por regression testing de produto antes da publicação.</w:t>
      </w:r>
    </w:p>
    <w:p>
      <w:pPr>
        <w:pStyle w:val="ListBullet"/>
      </w:pPr>
      <w:r>
        <w:rPr>
          <w:rFonts w:ascii="Aptos" w:hAnsi="Aptos" w:eastAsia="Aptos"/>
        </w:rPr>
        <w:t>Os guardrails DEVE / NÃO DEVE / QUANDO EM DÚVIDA definidos na fase anterior são invariantes e não podem regredir.</w:t>
      </w:r>
    </w:p>
    <w:p>
      <w:pPr>
        <w:pStyle w:val="ListBullet"/>
      </w:pPr>
      <w:r>
        <w:rPr>
          <w:rFonts w:ascii="Aptos" w:hAnsi="Aptos" w:eastAsia="Aptos"/>
        </w:rPr>
        <w:t>Mudanças de maior risco devem possuir Human-in-the-Loop antes do deploy.</w:t>
      </w:r>
    </w:p>
    <w:p>
      <w:pPr>
        <w:pStyle w:val="Heading2"/>
      </w:pPr>
      <w:r>
        <w:rPr>
          <w:rFonts w:ascii="Aptos" w:hAnsi="Aptos" w:eastAsia="Aptos"/>
        </w:rPr>
        <w:t>3. Processo de feedback</w:t>
      </w:r>
    </w:p>
    <w:p>
      <w:pPr>
        <w:pStyle w:val="ListNumber"/>
      </w:pPr>
      <w:r>
        <w:t>Registro — O atendente sinaliza resposta errada, desatualizada, incompleta, ambígua ou sem respaldo confiável.</w:t>
      </w:r>
    </w:p>
    <w:p>
      <w:pPr>
        <w:pStyle w:val="ListNumber"/>
      </w:pPr>
      <w:r>
        <w:t>Triagem — O feedback é classificado por tipo de problema: documentação, prompt, retrieval, indexação, guardrail, interface ou ausência de conhecimento.</w:t>
      </w:r>
    </w:p>
    <w:p>
      <w:pPr>
        <w:pStyle w:val="ListNumber"/>
      </w:pPr>
      <w:r>
        <w:t>Validação — O Product Specialist compara a resposta com a fonte de verdade e confirma se há erro real, gap documental ou uso incorreto de fonte.</w:t>
      </w:r>
    </w:p>
    <w:p>
      <w:pPr>
        <w:pStyle w:val="ListNumber"/>
      </w:pPr>
      <w:r>
        <w:t>Definição da ação — Documento ausente ou incorreto pode exigir criação/correção; conteúdo atualizado pode exigir reindexação; erro de comportamento pode exigir ajuste de prompt; problema de recuperação pode exigir ajuste de pipeline.</w:t>
      </w:r>
    </w:p>
    <w:p>
      <w:pPr>
        <w:pStyle w:val="ListNumber"/>
      </w:pPr>
      <w:r>
        <w:t>Implementação — A alteração é aplicada em ambiente controlado, sem publicação direta em produção.</w:t>
      </w:r>
    </w:p>
    <w:p>
      <w:pPr>
        <w:pStyle w:val="ListNumber"/>
      </w:pPr>
      <w:r>
        <w:t>Regression testing — A nova versão é testada contra casos já aprovados e casos relacionados ao problema corrigido.</w:t>
      </w:r>
    </w:p>
    <w:p>
      <w:pPr>
        <w:pStyle w:val="ListNumber"/>
      </w:pPr>
      <w:r>
        <w:t>Aprovação humana — Mudanças de risco passam pelo checkpoint humano definido neste harness.</w:t>
      </w:r>
    </w:p>
    <w:p>
      <w:pPr>
        <w:pStyle w:val="ListNumber"/>
      </w:pPr>
      <w:r>
        <w:t>Produção — A alteração aprovada é publicada.</w:t>
      </w:r>
    </w:p>
    <w:p>
      <w:pPr>
        <w:pStyle w:val="ListNumber"/>
      </w:pPr>
      <w:r>
        <w:t>Monitoramento — O time acompanha feedback e métricas para confirmar melhora e detectar regressões.</w:t>
      </w:r>
    </w:p>
    <w:p>
      <w:pPr>
        <w:pStyle w:val="Heading2"/>
      </w:pPr>
      <w:r>
        <w:rPr>
          <w:rFonts w:ascii="Aptos" w:hAnsi="Aptos" w:eastAsia="Aptos"/>
        </w:rPr>
        <w:t>4. Matriz de tratamento do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Sintoma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Classificação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Ação esperada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Informação ausente na base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Gap documental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Criar ou validar novo documento oficial antes de indexar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Documento correto, mas resposta incorreta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Prompt / geração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Ajustar instruções e testar comportamento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Documento atualizado não aparece nas respostas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Indexação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Reindexar e validar recuperação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Chunk inadequado ou irrelevante recuperado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Retrieval / pipeline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Revisar recuperação, relevância ou estratégia de chunking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Fonte informal usada como regra oficial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Governança de fontes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Aplicar hierarquia de confiança e bloquear alta confiança sem fonte formal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Guardrail violado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Produto / segurança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Bloquear publicação e corrigir antes de produção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5. Regression testing de produto</w:t>
      </w:r>
    </w:p>
    <w:p>
      <w:r>
        <w:rPr>
          <w:rFonts w:ascii="Aptos" w:hAnsi="Aptos" w:eastAsia="Aptos"/>
        </w:rPr>
        <w:t>Antes de qualquer mudança em prompt, documentação, indexação ou pipeline, deve ser executada uma bateria de regressão que compare o comportamento atual com a nova versão.</w:t>
      </w:r>
    </w:p>
    <w:p>
      <w:pPr>
        <w:pStyle w:val="ListBullet"/>
      </w:pPr>
      <w:r>
        <w:rPr>
          <w:rFonts w:ascii="Aptos" w:hAnsi="Aptos" w:eastAsia="Aptos"/>
        </w:rPr>
        <w:t>Reexecutar perguntas já aprovadas para confirmar que respostas corretas continuam corretas.</w:t>
      </w:r>
    </w:p>
    <w:p>
      <w:pPr>
        <w:pStyle w:val="ListBullet"/>
      </w:pPr>
      <w:r>
        <w:rPr>
          <w:rFonts w:ascii="Aptos" w:hAnsi="Aptos" w:eastAsia="Aptos"/>
        </w:rPr>
        <w:t>Adicionar casos específicos relacionados ao problema que motivou a mudança.</w:t>
      </w:r>
    </w:p>
    <w:p>
      <w:pPr>
        <w:pStyle w:val="ListBullet"/>
      </w:pPr>
      <w:r>
        <w:rPr>
          <w:rFonts w:ascii="Aptos" w:hAnsi="Aptos" w:eastAsia="Aptos"/>
        </w:rPr>
        <w:t>Validar presença e adequação da fonte citada.</w:t>
      </w:r>
    </w:p>
    <w:p>
      <w:pPr>
        <w:pStyle w:val="ListBullet"/>
      </w:pPr>
      <w:r>
        <w:rPr>
          <w:rFonts w:ascii="Aptos" w:hAnsi="Aptos" w:eastAsia="Aptos"/>
        </w:rPr>
        <w:t>Confirmar que o assistente não passou a inventar informações quando não há cobertura documental.</w:t>
      </w:r>
    </w:p>
    <w:p>
      <w:pPr>
        <w:pStyle w:val="ListBullet"/>
      </w:pPr>
      <w:r>
        <w:rPr>
          <w:rFonts w:ascii="Aptos" w:hAnsi="Aptos" w:eastAsia="Aptos"/>
        </w:rPr>
        <w:t>Validar casos de conflito entre documentos, especialmente PROC-042 e PROC-042-v2.</w:t>
      </w:r>
    </w:p>
    <w:p>
      <w:pPr>
        <w:pStyle w:val="ListBullet"/>
      </w:pPr>
      <w:r>
        <w:rPr>
          <w:rFonts w:ascii="Aptos" w:hAnsi="Aptos" w:eastAsia="Aptos"/>
        </w:rPr>
        <w:t>Validar casos de fonte informal, especialmente FAQ-Atendimento, para garantir que informação crítica não seja apresentada como regra oficial.</w:t>
      </w:r>
    </w:p>
    <w:p>
      <w:pPr>
        <w:pStyle w:val="ListBullet"/>
      </w:pPr>
      <w:r>
        <w:rPr>
          <w:rFonts w:ascii="Aptos" w:hAnsi="Aptos" w:eastAsia="Aptos"/>
        </w:rPr>
        <w:t>Reexecutar os guardrails DEVE / NÃO DEVE / QUANDO EM DÚVIDA da fase anterior.</w:t>
      </w:r>
    </w:p>
    <w:p>
      <w:pPr>
        <w:pStyle w:val="ListBullet"/>
      </w:pPr>
      <w:r>
        <w:rPr>
          <w:rFonts w:ascii="Aptos" w:hAnsi="Aptos" w:eastAsia="Aptos"/>
        </w:rPr>
        <w:t>Comparar resultados antes e depois da mudança e bloquear a publicação em caso de regressão relevante.</w:t>
      </w:r>
    </w:p>
    <w:p>
      <w:pPr>
        <w:pStyle w:val="Heading2"/>
      </w:pPr>
      <w:r>
        <w:rPr>
          <w:rFonts w:ascii="Aptos" w:hAnsi="Aptos" w:eastAsia="Aptos"/>
        </w:rPr>
        <w:t>6. Casos mínimos de regressão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8"/>
              </w:rPr>
              <w:t>Caso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8"/>
              </w:rPr>
              <w:t>Resultado esperado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Prazo de devolução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Deve responder 7 dias úteis e citar POL-001.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Devolução de carga perigosa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Deve informar que não é elegível pelo processo padrão e orientar tratamento pela Gestão de Riscos.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SLA Silver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Deve distinguir resolução de chamados gerais (até 48h úteis) de incidentes críticos (até 8h) para Silver, ou solicitar o tipo de chamado antes de responder.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Tier inexistente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Não deve inventar SLA; deve informar que só existem Gold, Silver e Standard.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Carga danificada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Não deve apresentar o FAQ item 38 como política formal. Deve informar apenas o que a POL-001 seção 3.5 sustenta e sinalizar o gap para o processo de tratamento de danos.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Carga perigosa com frete expresso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Não deve afirmar autorização como regra formal. Deve sinalizar ausência de norma disponível, considerar a referência à PROC-043 ausente/em revisão e acionar validação humana.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PROC-042 x PROC-042-v2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Não deve misturar valores de versões diferentes; deve considerar o conflito documental.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Pergunta sem cobertura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Deve reconhecer ausência de informação e evitar completar a resposta com conhecimento geral.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7. Preservação dos guardrails</w:t>
      </w:r>
    </w:p>
    <w:p>
      <w:r>
        <w:rPr>
          <w:rFonts w:ascii="Aptos" w:hAnsi="Aptos" w:eastAsia="Aptos"/>
        </w:rPr>
        <w:t>Os guardrails formalizados no cenário anterior devem ser tratados como invariantes de produto. Toda alteração deve comprovar que as regras continuam válidas antes da publicação.</w:t>
      </w:r>
    </w:p>
    <w:p>
      <w:pPr>
        <w:pStyle w:val="ListBullet"/>
      </w:pPr>
      <w:r>
        <w:rPr>
          <w:rFonts w:ascii="Aptos" w:hAnsi="Aptos" w:eastAsia="Aptos"/>
        </w:rPr>
        <w:t>DEVE: responder com base na documentação disponível e indicar a fonte utilizada.</w:t>
      </w:r>
    </w:p>
    <w:p>
      <w:pPr>
        <w:pStyle w:val="ListBullet"/>
      </w:pPr>
      <w:r>
        <w:rPr>
          <w:rFonts w:ascii="Aptos" w:hAnsi="Aptos" w:eastAsia="Aptos"/>
        </w:rPr>
        <w:t>NÃO DEVE: inventar regras, prazos, valores, procedimentos ou completar lacunas sem respaldo documental.</w:t>
      </w:r>
    </w:p>
    <w:p>
      <w:pPr>
        <w:pStyle w:val="ListBullet"/>
      </w:pPr>
      <w:r>
        <w:rPr>
          <w:rFonts w:ascii="Aptos" w:hAnsi="Aptos" w:eastAsia="Aptos"/>
        </w:rPr>
        <w:t>QUANDO EM DÚVIDA: reconhecer conflito, baixa confiança ou ausência de informação e encaminhar para validação humana ou fonte oficial.</w:t>
      </w:r>
    </w:p>
    <w:p>
      <w:pPr>
        <w:pStyle w:val="Heading2"/>
      </w:pPr>
      <w:r>
        <w:rPr>
          <w:rFonts w:ascii="Aptos" w:hAnsi="Aptos" w:eastAsia="Aptos"/>
        </w:rPr>
        <w:t>8. Human-in-the-Loop (HITL)</w:t>
      </w:r>
    </w:p>
    <w:p>
      <w:r>
        <w:rPr>
          <w:rFonts w:ascii="Aptos" w:hAnsi="Aptos" w:eastAsia="Aptos"/>
        </w:rPr>
        <w:t>Mudanças com impacto relevante no comportamento do assistente não devem ir diretamente para produção. O harness define checkpoints de aprovação humana proporcionais ao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Mudança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Aprovador(es)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Checkpoint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Alteração de system prompt ou regra de comportamento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Product Specialist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Valida impacto sobre experiência, escopo e guardrails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Alteração em guardrail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Product Specialist + Tech Lead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Exige validação funcional e técnica antes de produção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Inclusão ou alteração de documento crítico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Responsável de negócio + Product Specialist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Confirma que a fonte é oficial, vigente e apropriada para indexação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Mudança em comportamento envolvendo carga perigosa</w:t>
            </w:r>
          </w:p>
        </w:tc>
        <w:tc>
          <w:tcPr>
            <w:tcW w:type="dxa" w:w="3312"/>
          </w:tcPr>
          <w:p>
            <w:r>
              <w:t>Product Specialist + Gestão de Riscos/Compliance, conforme o processo afetado</w:t>
            </w:r>
          </w:p>
        </w:tc>
        <w:tc>
          <w:tcPr>
            <w:tcW w:type="dxa" w:w="3312"/>
          </w:tcPr>
          <w:p>
            <w:r>
              <w:t>Tema crítico exige validação humana antes de disponibilização. Para devolução de carga perigosa, envolver Gestão de Riscos; para regras sujeitas a validação de compliance, envolver Compliance.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Mudança no pipeline ou retrieval com impacto em respostas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Tech Lead + Product Specialist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Avalia risco técnico e regressão de produto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9. Critérios de aprovação para produção</w:t>
      </w:r>
    </w:p>
    <w:p>
      <w:pPr>
        <w:pStyle w:val="ListBullet"/>
      </w:pPr>
      <w:r>
        <w:rPr>
          <w:rFonts w:ascii="Aptos" w:hAnsi="Aptos" w:eastAsia="Aptos"/>
        </w:rPr>
        <w:t>O problema que motivou a mudança foi corrigido no caso-alvo.</w:t>
      </w:r>
    </w:p>
    <w:p>
      <w:pPr>
        <w:pStyle w:val="ListBullet"/>
      </w:pPr>
      <w:r>
        <w:rPr>
          <w:rFonts w:ascii="Aptos" w:hAnsi="Aptos" w:eastAsia="Aptos"/>
        </w:rPr>
        <w:t>Casos previamente aprovados continuam corretos.</w:t>
      </w:r>
    </w:p>
    <w:p>
      <w:pPr>
        <w:pStyle w:val="ListBullet"/>
      </w:pPr>
      <w:r>
        <w:rPr>
          <w:rFonts w:ascii="Aptos" w:hAnsi="Aptos" w:eastAsia="Aptos"/>
        </w:rPr>
        <w:t>Os guardrails não apresentaram regressão.</w:t>
      </w:r>
    </w:p>
    <w:p>
      <w:pPr>
        <w:pStyle w:val="ListBullet"/>
      </w:pPr>
      <w:r>
        <w:rPr>
          <w:rFonts w:ascii="Aptos" w:hAnsi="Aptos" w:eastAsia="Aptos"/>
        </w:rPr>
        <w:t>Fontes citadas são adequadas ao tipo de informação.</w:t>
      </w:r>
    </w:p>
    <w:p>
      <w:pPr>
        <w:pStyle w:val="ListBullet"/>
      </w:pPr>
      <w:r>
        <w:rPr>
          <w:rFonts w:ascii="Aptos" w:hAnsi="Aptos" w:eastAsia="Aptos"/>
        </w:rPr>
        <w:t>Não foram introduzidas novas respostas com suposição ou alucinação.</w:t>
      </w:r>
    </w:p>
    <w:p>
      <w:pPr>
        <w:pStyle w:val="ListBullet"/>
      </w:pPr>
      <w:r>
        <w:rPr>
          <w:rFonts w:ascii="Aptos" w:hAnsi="Aptos" w:eastAsia="Aptos"/>
        </w:rPr>
        <w:t>Mudanças sujeitas a HITL possuem aprovação registrada.</w:t>
      </w:r>
    </w:p>
    <w:p>
      <w:pPr>
        <w:pStyle w:val="Heading2"/>
      </w:pPr>
      <w:r>
        <w:rPr>
          <w:rFonts w:ascii="Aptos" w:hAnsi="Aptos" w:eastAsia="Aptos"/>
        </w:rPr>
        <w:t>10. Fluxo resumido do harness de produto</w:t>
      </w:r>
    </w:p>
    <w:p>
      <w:pPr>
        <w:jc w:val="center"/>
      </w:pPr>
      <w:r>
        <w:rPr>
          <w:rFonts w:ascii="Aptos" w:hAnsi="Aptos" w:eastAsia="Aptos"/>
          <w:b/>
        </w:rPr>
        <w:t>Feedback → Triagem → Classificação → Ação → Regression Testing → Aprovação Humana → Produção → Monitoramento</w:t>
      </w:r>
    </w:p>
    <w:p>
      <w:pPr>
        <w:pStyle w:val="Heading2"/>
      </w:pPr>
      <w:r>
        <w:rPr>
          <w:rFonts w:ascii="Aptos" w:hAnsi="Aptos" w:eastAsia="Aptos"/>
        </w:rPr>
        <w:t>11. Conclusão do exercício 3.2</w:t>
      </w:r>
    </w:p>
    <w:p>
      <w:r>
        <w:rPr>
          <w:rFonts w:ascii="Aptos" w:hAnsi="Aptos" w:eastAsia="Aptos"/>
        </w:rPr>
        <w:t>O harness de produto cria um ciclo controlado de melhoria contínua. O feedback deixa de ser apenas registrado e passa a gerar ações rastreáveis; toda mudança é validada contra respostas já aprovadas e contra os guardrails existentes; e alterações de maior risco passam por Human-in-the-Loop antes da produção. Dessa forma, o assistente pode evoluir sem perder confiabilidade ou governança.</w:t>
      </w:r>
    </w:p>
    <w:p>
      <w:pPr>
        <w:pStyle w:val="Heading1"/>
      </w:pPr>
      <w:r>
        <w:rPr>
          <w:rFonts w:ascii="Aptos" w:hAnsi="Aptos" w:eastAsia="Aptos"/>
        </w:rPr>
        <w:t>Referências utilizadas no cenário</w:t>
      </w:r>
    </w:p>
    <w:p>
      <w:pPr>
        <w:pStyle w:val="ListBullet"/>
      </w:pPr>
      <w:r>
        <w:rPr>
          <w:rFonts w:ascii="Aptos" w:hAnsi="Aptos" w:eastAsia="Aptos"/>
        </w:rPr>
        <w:t>Anexo A — Documentação Simulada da NovaTech.</w:t>
      </w:r>
    </w:p>
    <w:p>
      <w:pPr>
        <w:pStyle w:val="ListBullet"/>
      </w:pPr>
      <w:r>
        <w:rPr>
          <w:rFonts w:ascii="Aptos" w:hAnsi="Aptos" w:eastAsia="Aptos"/>
        </w:rPr>
        <w:t>POL-001 — Política de Devolução de Mercadorias, versão 3.1.</w:t>
      </w:r>
    </w:p>
    <w:p>
      <w:pPr>
        <w:pStyle w:val="ListBullet"/>
      </w:pPr>
      <w:r>
        <w:rPr>
          <w:rFonts w:ascii="Aptos" w:hAnsi="Aptos" w:eastAsia="Aptos"/>
        </w:rPr>
        <w:t>PROC-042 — Procedimento de Cálculo de Frete Especial, versão 1.0.</w:t>
      </w:r>
    </w:p>
    <w:p>
      <w:pPr>
        <w:pStyle w:val="ListBullet"/>
      </w:pPr>
      <w:r>
        <w:rPr>
          <w:rFonts w:ascii="Aptos" w:hAnsi="Aptos" w:eastAsia="Aptos"/>
        </w:rPr>
        <w:t>PROC-042-v2 — Procedimento de Cálculo de Frete Especial (Revisado), versão 2.0.</w:t>
      </w:r>
    </w:p>
    <w:p>
      <w:pPr>
        <w:pStyle w:val="ListBullet"/>
      </w:pPr>
      <w:r>
        <w:rPr>
          <w:rFonts w:ascii="Aptos" w:hAnsi="Aptos" w:eastAsia="Aptos"/>
        </w:rPr>
        <w:t>SLA-2024 — Tabela de SLA por Tipo de Cliente, versão 2024.1.</w:t>
      </w:r>
    </w:p>
    <w:p>
      <w:pPr>
        <w:pStyle w:val="ListBullet"/>
      </w:pPr>
      <w:r>
        <w:rPr>
          <w:rFonts w:ascii="Aptos" w:hAnsi="Aptos" w:eastAsia="Aptos"/>
        </w:rPr>
        <w:t>FAQ-Atendimento — Perguntas Frequentes do Time de Suporte.</w:t>
      </w:r>
    </w:p>
    <w:p>
      <w:pPr>
        <w:pStyle w:val="ListBullet"/>
      </w:pPr>
      <w:r>
        <w:rPr>
          <w:rFonts w:ascii="Aptos" w:hAnsi="Aptos" w:eastAsia="Aptos"/>
        </w:rPr>
        <w:t>Anexo B — Chunks de Referência do Pipeline de RAG.</w:t>
      </w:r>
    </w:p>
    <w:p>
      <w:pPr>
        <w:pStyle w:val="ListBullet"/>
      </w:pPr>
      <w:r>
        <w:rPr>
          <w:rFonts w:ascii="Aptos" w:hAnsi="Aptos" w:eastAsia="Aptos"/>
        </w:rPr>
        <w:t>Cenário-Âncora 3 — Fase de Governança e Validação.</w:t>
      </w:r>
    </w:p>
    <w:p>
      <w:pPr>
        <w:pStyle w:val="ListBullet"/>
      </w:pPr>
      <w:r>
        <w:rPr>
          <w:rFonts w:ascii="Aptos" w:hAnsi="Aptos" w:eastAsia="Aptos"/>
        </w:rPr>
        <w:t>Skill de Avaliação — Product Specialist (Cenário 3).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Cenário 3 — Product Specialist | Governança e Validação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