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CENÁRIO 3 — GOVERNANÇA E VALIDAÇÃO</w:t>
      </w:r>
    </w:p>
    <w:p>
      <w:pPr>
        <w:jc w:val="center"/>
      </w:pPr>
      <w:r>
        <w:rPr>
          <w:b/>
          <w:sz w:val="28"/>
        </w:rPr>
        <w:t>Product Specialist</w:t>
      </w:r>
    </w:p>
    <w:p>
      <w:pPr>
        <w:jc w:val="center"/>
      </w:pPr>
      <w:r>
        <w:rPr>
          <w:i/>
        </w:rPr>
        <w:t>Trilha de Certificação AI First — DGS / DB1 Global Software</w:t>
      </w:r>
    </w:p>
    <w:p/>
    <w:p>
      <w:r>
        <w:rPr>
          <w:b/>
        </w:rPr>
        <w:t>Objetivo do cenário</w:t>
      </w:r>
      <w:r>
        <w:t xml:space="preserve"> — Validar criticamente as respostas do assistente de IA antes do go-live e definir um harness de produto capaz de sustentar melhoria contínua sem regressão de qualidade, preservando os guardrails já definidos nas fases anteriores.</w:t>
      </w:r>
    </w:p>
    <w:p>
      <w:pPr>
        <w:pStyle w:val="Heading1"/>
      </w:pPr>
      <w:r>
        <w:t>Exercício 3.1 — Revisão crítica das respostas do assistente</w:t>
      </w:r>
    </w:p>
    <w:p>
      <w:pPr>
        <w:pStyle w:val="Heading2"/>
      </w:pPr>
      <w:r>
        <w:t>1. Objetivo</w:t>
      </w:r>
    </w:p>
    <w:p>
      <w:r>
        <w:t>Avaliar uma amostra de respostas do assistente em staging, verificando precisão factual, confiabilidade da fonte, aderência às regras de produto e comportamento esperado em situações de ausência ou fragilidade documental. A análise utiliza como fonte de verdade a documentação simulada da NovaTech.</w:t>
      </w:r>
    </w:p>
    <w:p>
      <w:pPr>
        <w:pStyle w:val="Heading2"/>
      </w:pPr>
      <w:r>
        <w:t>2. Avaliação própria — realizada antes do segundo avaliador de IA</w:t>
      </w:r>
    </w:p>
    <w:p>
      <w:r>
        <w:t>A avaliação abaixo representa o julgamento inicial do Product Specialist, realizado antes da comparação com um segundo avaliador de IA, conforme exigido pelo exercício.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#</w:t>
            </w:r>
          </w:p>
        </w:tc>
        <w:tc>
          <w:tcPr>
            <w:tcW w:type="dxa" w:w="1987"/>
          </w:tcPr>
          <w:p>
            <w:r>
              <w:t>Pergunta</w:t>
            </w:r>
          </w:p>
        </w:tc>
        <w:tc>
          <w:tcPr>
            <w:tcW w:type="dxa" w:w="1987"/>
          </w:tcPr>
          <w:p>
            <w:r>
              <w:t>Avaliação</w:t>
            </w:r>
          </w:p>
        </w:tc>
        <w:tc>
          <w:tcPr>
            <w:tcW w:type="dxa" w:w="1987"/>
          </w:tcPr>
          <w:p>
            <w:r>
              <w:t>Justificativa</w:t>
            </w:r>
          </w:p>
        </w:tc>
        <w:tc>
          <w:tcPr>
            <w:tcW w:type="dxa" w:w="1987"/>
          </w:tcPr>
          <w:p>
            <w:r>
              <w:t>Referência interna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Qual o prazo de devolução para produtos standard?</w:t>
            </w:r>
          </w:p>
        </w:tc>
        <w:tc>
          <w:tcPr>
            <w:tcW w:type="dxa" w:w="1987"/>
          </w:tcPr>
          <w:p>
            <w:r>
              <w:t>Correta</w:t>
            </w:r>
          </w:p>
        </w:tc>
        <w:tc>
          <w:tcPr>
            <w:tcW w:type="dxa" w:w="1987"/>
          </w:tcPr>
          <w:p>
            <w:r>
              <w:t>A POL-001 estabelece prazo de até 7 dias úteis após o recebimento e determina abertura de chamado no Portal do Cliente com documentação e fotos. A regra vale para todos os tipos de cliente, salvo exceções de carga.</w:t>
            </w:r>
          </w:p>
        </w:tc>
        <w:tc>
          <w:tcPr>
            <w:tcW w:type="dxa" w:w="1987"/>
          </w:tcPr>
          <w:p>
            <w:r>
              <w:t>POL-001, seções 1, 3.1 e 3.3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Meu cliente é Silver. Qual o prazo de resolução?</w:t>
            </w:r>
          </w:p>
        </w:tc>
        <w:tc>
          <w:tcPr>
            <w:tcW w:type="dxa" w:w="1987"/>
          </w:tcPr>
          <w:p>
            <w:r>
              <w:t>Correta</w:t>
            </w:r>
          </w:p>
        </w:tc>
        <w:tc>
          <w:tcPr>
            <w:tcW w:type="dxa" w:w="1987"/>
          </w:tcPr>
          <w:p>
            <w:r>
              <w:t>O SLA-2024 define para clientes Silver prazo de resolução de chamados gerais de até 48 horas úteis. Para incidentes críticos, o prazo é diferente, mas a resposta do exercício é adequada ao contexto apresentado.</w:t>
            </w:r>
          </w:p>
        </w:tc>
        <w:tc>
          <w:tcPr>
            <w:tcW w:type="dxa" w:w="1987"/>
          </w:tcPr>
          <w:p>
            <w:r>
              <w:t>SLA-2024, seção 2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Posso devolver carga perigosa classe 3?</w:t>
            </w:r>
          </w:p>
        </w:tc>
        <w:tc>
          <w:tcPr>
            <w:tcW w:type="dxa" w:w="1987"/>
          </w:tcPr>
          <w:p>
            <w:r>
              <w:t>Correta</w:t>
            </w:r>
          </w:p>
        </w:tc>
        <w:tc>
          <w:tcPr>
            <w:tcW w:type="dxa" w:w="1987"/>
          </w:tcPr>
          <w:p>
            <w:r>
              <w:t>A POL-001 informa que cargas perigosas das classes 1 a 6 da ANTT não são elegíveis para devolução pelo processo padrão. Classe 3 está explicitamente incluída. A política orienta tratamento individual pela Gestão de Riscos.</w:t>
            </w:r>
          </w:p>
        </w:tc>
        <w:tc>
          <w:tcPr>
            <w:tcW w:type="dxa" w:w="1987"/>
          </w:tcPr>
          <w:p>
            <w:r>
              <w:t>POL-001, seção 3.2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Qual a política para carga danificada durante transporte?</w:t>
            </w:r>
          </w:p>
        </w:tc>
        <w:tc>
          <w:tcPr>
            <w:tcW w:type="dxa" w:w="1987"/>
          </w:tcPr>
          <w:p>
            <w:r>
              <w:t>Incorreta</w:t>
            </w:r>
          </w:p>
        </w:tc>
        <w:tc>
          <w:tcPr>
            <w:tcW w:type="dxa" w:w="1987"/>
          </w:tcPr>
          <w:p>
            <w:r>
              <w:t>A resposta apresenta como política formal um processo que não possui documento normativo na base. A informação existe apenas no FAQ informal, sem validação de Compliance ou Operações. A resposta ainda foi apresentada com confiança alta e sem fonte formal.</w:t>
            </w:r>
          </w:p>
        </w:tc>
        <w:tc>
          <w:tcPr>
            <w:tcW w:type="dxa" w:w="1987"/>
          </w:tcPr>
          <w:p>
            <w:r>
              <w:t>FAQ-Atendimento, item 38; Anexo A — gaps identificados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Qual o SLA do cliente Enterprise?</w:t>
            </w:r>
          </w:p>
        </w:tc>
        <w:tc>
          <w:tcPr>
            <w:tcW w:type="dxa" w:w="1987"/>
          </w:tcPr>
          <w:p>
            <w:r>
              <w:t>Correta</w:t>
            </w:r>
          </w:p>
        </w:tc>
        <w:tc>
          <w:tcPr>
            <w:tcW w:type="dxa" w:w="1987"/>
          </w:tcPr>
          <w:p>
            <w:r>
              <w:t>O SLA-2024 estabelece apenas três tiers: Gold, Silver e Standard. Não existe tier Enterprise documentado. O comportamento correto é reconhecer a ausência e direcionar para confirmação ou escalação, sem inventar SLA.</w:t>
            </w:r>
          </w:p>
        </w:tc>
        <w:tc>
          <w:tcPr>
            <w:tcW w:type="dxa" w:w="1987"/>
          </w:tcPr>
          <w:p>
            <w:r>
              <w:t>SLA-2024, seção 1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Posso enviar carga perigosa com frete expresso?</w:t>
            </w:r>
          </w:p>
        </w:tc>
        <w:tc>
          <w:tcPr>
            <w:tcW w:type="dxa" w:w="1987"/>
          </w:tcPr>
          <w:p>
            <w:r>
              <w:t>Parcialmente correta / problemática</w:t>
            </w:r>
          </w:p>
        </w:tc>
        <w:tc>
          <w:tcPr>
            <w:tcW w:type="dxa" w:w="1987"/>
          </w:tcPr>
          <w:p>
            <w:r>
              <w:t>A informação citada existe no FAQ-Atendimento, item 32, porém o FAQ é informal, não controlado e não validado. Não existe documento formal que estabeleça esse processo para carga perigosa com frete expresso. A resposta não deveria apresentar a informação como regra confirmada.</w:t>
            </w:r>
          </w:p>
        </w:tc>
        <w:tc>
          <w:tcPr>
            <w:tcW w:type="dxa" w:w="1987"/>
          </w:tcPr>
          <w:p>
            <w:r>
              <w:t>FAQ-Atendimento, item 32; Anexo A — contradições identificadas</w:t>
            </w:r>
          </w:p>
        </w:tc>
      </w:tr>
    </w:tbl>
    <w:p>
      <w:pPr>
        <w:pStyle w:val="Heading2"/>
      </w:pPr>
      <w:r>
        <w:t>3. Classificação dos problemas identificados</w:t>
      </w:r>
    </w:p>
    <w:p>
      <w:pPr>
        <w:pStyle w:val="ListBullet"/>
      </w:pPr>
      <w:r>
        <w:rPr>
          <w:b/>
        </w:rPr>
        <w:t xml:space="preserve">Resposta 4 — Alucinação / ausência de respaldo formal: </w:t>
      </w:r>
      <w:r>
        <w:t>O assistente transformou uma orientação informal em política oficial. Como não existe POL ou PROC sobre carga danificada em trânsito, o sistema deveria reconhecer a lacuna documental e evitar afirmar regras como fato.</w:t>
      </w:r>
    </w:p>
    <w:p>
      <w:pPr>
        <w:pStyle w:val="ListBullet"/>
      </w:pPr>
      <w:r>
        <w:rPr>
          <w:b/>
        </w:rPr>
        <w:t xml:space="preserve">Resposta 6 — Fonte não confiável: </w:t>
      </w:r>
      <w:r>
        <w:t>O conteúdo não é uma alucinação pura, porque está presente no FAQ. O problema é a confiabilidade da fonte: o FAQ é informal e não validado, e trata de tema crítico relacionado a carga perigosa.</w:t>
      </w:r>
    </w:p>
    <w:p>
      <w:pPr>
        <w:pStyle w:val="Heading2"/>
      </w:pPr>
      <w:r>
        <w:t>4. Comportamento esperado do assistente</w:t>
      </w:r>
    </w:p>
    <w:p>
      <w:pPr>
        <w:pStyle w:val="ListBullet"/>
      </w:pPr>
      <w:r>
        <w:t>Quando não houver documento formal que sustente uma regra, o assistente deve informar que não encontrou respaldo normativo suficiente e direcionar para validação humana ou área responsável.</w:t>
      </w:r>
    </w:p>
    <w:p>
      <w:pPr>
        <w:pStyle w:val="ListBullet"/>
      </w:pPr>
      <w:r>
        <w:t>Informações vindas de FAQ informal não devem ser tratadas com o mesmo nível de confiança de documentos normativos, procedimentais ou contratuais.</w:t>
      </w:r>
    </w:p>
    <w:p>
      <w:pPr>
        <w:pStyle w:val="ListBullet"/>
      </w:pPr>
      <w:r>
        <w:t>Para temas críticos, especialmente carga perigosa, uma fonte informal deve acionar tratamento conservador e validação humana.</w:t>
      </w:r>
    </w:p>
    <w:p>
      <w:pPr>
        <w:pStyle w:val="ListBullet"/>
      </w:pPr>
      <w:r>
        <w:t>O assistente não deve inventar dados, completar lacunas por conhecimento geral ou converter experiência prática não validada em regra oficial.</w:t>
      </w:r>
    </w:p>
    <w:p>
      <w:pPr>
        <w:pStyle w:val="Heading2"/>
      </w:pPr>
      <w:r>
        <w:t>5. Segundo avaliador de IA — etapa obrigatória a executar no Claude</w:t>
      </w:r>
    </w:p>
    <w:p>
      <w:r>
        <w:rPr>
          <w:b/>
        </w:rPr>
        <w:t xml:space="preserve">Observação importante: </w:t>
      </w:r>
      <w:r>
        <w:t>o enunciado exige que esta etapa seja realizada no Claude depois da análise própria. O conteúdo abaixo indica o formato esperado da comparação, mas deve ser substituído ou confirmado com o output efetivamente obtido no Claude antes da entrega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Resposta</w:t>
            </w:r>
          </w:p>
        </w:tc>
        <w:tc>
          <w:tcPr>
            <w:tcW w:type="dxa" w:w="2484"/>
          </w:tcPr>
          <w:p>
            <w:r>
              <w:t>Minha avaliação</w:t>
            </w:r>
          </w:p>
        </w:tc>
        <w:tc>
          <w:tcPr>
            <w:tcW w:type="dxa" w:w="2484"/>
          </w:tcPr>
          <w:p>
            <w:r>
              <w:t>Avaliação do Claude</w:t>
            </w:r>
          </w:p>
        </w:tc>
        <w:tc>
          <w:tcPr>
            <w:tcW w:type="dxa" w:w="2484"/>
          </w:tcPr>
          <w:p>
            <w:r>
              <w:t>Comparação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Correta</w:t>
            </w:r>
          </w:p>
        </w:tc>
        <w:tc>
          <w:tcPr>
            <w:tcW w:type="dxa" w:w="2484"/>
          </w:tcPr>
          <w:p>
            <w:r>
              <w:t>[preencher com Claude]</w:t>
            </w:r>
          </w:p>
        </w:tc>
        <w:tc>
          <w:tcPr>
            <w:tcW w:type="dxa" w:w="2484"/>
          </w:tcPr>
          <w:p>
            <w:r>
              <w:t>Esperada concordância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Correta</w:t>
            </w:r>
          </w:p>
        </w:tc>
        <w:tc>
          <w:tcPr>
            <w:tcW w:type="dxa" w:w="2484"/>
          </w:tcPr>
          <w:p>
            <w:r>
              <w:t>[preencher com Claude]</w:t>
            </w:r>
          </w:p>
        </w:tc>
        <w:tc>
          <w:tcPr>
            <w:tcW w:type="dxa" w:w="2484"/>
          </w:tcPr>
          <w:p>
            <w:r>
              <w:t>Esperada concordância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Correta</w:t>
            </w:r>
          </w:p>
        </w:tc>
        <w:tc>
          <w:tcPr>
            <w:tcW w:type="dxa" w:w="2484"/>
          </w:tcPr>
          <w:p>
            <w:r>
              <w:t>[preencher com Claude]</w:t>
            </w:r>
          </w:p>
        </w:tc>
        <w:tc>
          <w:tcPr>
            <w:tcW w:type="dxa" w:w="2484"/>
          </w:tcPr>
          <w:p>
            <w:r>
              <w:t>Esperada concordância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Incorreta — alucinação</w:t>
            </w:r>
          </w:p>
        </w:tc>
        <w:tc>
          <w:tcPr>
            <w:tcW w:type="dxa" w:w="2484"/>
          </w:tcPr>
          <w:p>
            <w:r>
              <w:t>[preencher com Claude]</w:t>
            </w:r>
          </w:p>
        </w:tc>
        <w:tc>
          <w:tcPr>
            <w:tcW w:type="dxa" w:w="2484"/>
          </w:tcPr>
          <w:p>
            <w:r>
              <w:t>Verificar se identifica ausência de documento formal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Correta</w:t>
            </w:r>
          </w:p>
        </w:tc>
        <w:tc>
          <w:tcPr>
            <w:tcW w:type="dxa" w:w="2484"/>
          </w:tcPr>
          <w:p>
            <w:r>
              <w:t>[preencher com Claude]</w:t>
            </w:r>
          </w:p>
        </w:tc>
        <w:tc>
          <w:tcPr>
            <w:tcW w:type="dxa" w:w="2484"/>
          </w:tcPr>
          <w:p>
            <w:r>
              <w:t>Esperada concordância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Problemática — fonte não confiável</w:t>
            </w:r>
          </w:p>
        </w:tc>
        <w:tc>
          <w:tcPr>
            <w:tcW w:type="dxa" w:w="2484"/>
          </w:tcPr>
          <w:p>
            <w:r>
              <w:t>[preencher com Claude]</w:t>
            </w:r>
          </w:p>
        </w:tc>
        <w:tc>
          <w:tcPr>
            <w:tcW w:type="dxa" w:w="2484"/>
          </w:tcPr>
          <w:p>
            <w:r>
              <w:t>Verificar se diferencia conteúdo existente de fonte formal confiável</w:t>
            </w:r>
          </w:p>
        </w:tc>
      </w:tr>
    </w:tbl>
    <w:p>
      <w:pPr>
        <w:pStyle w:val="Heading2"/>
      </w:pPr>
      <w:r>
        <w:t>6. Propostas de ajuste de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Caso</w:t>
            </w:r>
          </w:p>
        </w:tc>
        <w:tc>
          <w:tcPr>
            <w:tcW w:type="dxa" w:w="3312"/>
          </w:tcPr>
          <w:p>
            <w:r>
              <w:t>Tipo de ajuste</w:t>
            </w:r>
          </w:p>
        </w:tc>
        <w:tc>
          <w:tcPr>
            <w:tcW w:type="dxa" w:w="3312"/>
          </w:tcPr>
          <w:p>
            <w:r>
              <w:t>Proposta</w:t>
            </w:r>
          </w:p>
        </w:tc>
      </w:tr>
      <w:tr>
        <w:tc>
          <w:tcPr>
            <w:tcW w:type="dxa" w:w="3312"/>
          </w:tcPr>
          <w:p>
            <w:r>
              <w:t>Resposta 4 — carga danificada</w:t>
            </w:r>
          </w:p>
        </w:tc>
        <w:tc>
          <w:tcPr>
            <w:tcW w:type="dxa" w:w="3312"/>
          </w:tcPr>
          <w:p>
            <w:r>
              <w:t>Prompt</w:t>
            </w:r>
          </w:p>
        </w:tc>
        <w:tc>
          <w:tcPr>
            <w:tcW w:type="dxa" w:w="3312"/>
          </w:tcPr>
          <w:p>
            <w:r>
              <w:t>Instruir o assistente a não apresentar como política oficial informações que existam apenas em fonte informal ou sem respaldo normativo.</w:t>
            </w:r>
          </w:p>
        </w:tc>
      </w:tr>
      <w:tr>
        <w:tc>
          <w:tcPr>
            <w:tcW w:type="dxa" w:w="3312"/>
          </w:tcPr>
          <w:p>
            <w:r>
              <w:t>Resposta 4 — carga danificada</w:t>
            </w:r>
          </w:p>
        </w:tc>
        <w:tc>
          <w:tcPr>
            <w:tcW w:type="dxa" w:w="3312"/>
          </w:tcPr>
          <w:p>
            <w:r>
              <w:t>Interface</w:t>
            </w:r>
          </w:p>
        </w:tc>
        <w:tc>
          <w:tcPr>
            <w:tcW w:type="dxa" w:w="3312"/>
          </w:tcPr>
          <w:p>
            <w:r>
              <w:t>Exibir sinalização de ausência de fonte formal e orientar validação humana quando a resposta depender apenas de FAQ informal.</w:t>
            </w:r>
          </w:p>
        </w:tc>
      </w:tr>
      <w:tr>
        <w:tc>
          <w:tcPr>
            <w:tcW w:type="dxa" w:w="3312"/>
          </w:tcPr>
          <w:p>
            <w:r>
              <w:t>Resposta 4 — carga danificada</w:t>
            </w:r>
          </w:p>
        </w:tc>
        <w:tc>
          <w:tcPr>
            <w:tcW w:type="dxa" w:w="3312"/>
          </w:tcPr>
          <w:p>
            <w:r>
              <w:t>Pipeline</w:t>
            </w:r>
          </w:p>
        </w:tc>
        <w:tc>
          <w:tcPr>
            <w:tcW w:type="dxa" w:w="3312"/>
          </w:tcPr>
          <w:p>
            <w:r>
              <w:t>Classificar fontes por nível de autoridade e impedir respostas de alta confiança quando não houver documento formal de suporte.</w:t>
            </w:r>
          </w:p>
        </w:tc>
      </w:tr>
      <w:tr>
        <w:tc>
          <w:tcPr>
            <w:tcW w:type="dxa" w:w="3312"/>
          </w:tcPr>
          <w:p>
            <w:r>
              <w:t>Resposta 6 — carga perigosa + frete expresso</w:t>
            </w:r>
          </w:p>
        </w:tc>
        <w:tc>
          <w:tcPr>
            <w:tcW w:type="dxa" w:w="3312"/>
          </w:tcPr>
          <w:p>
            <w:r>
              <w:t>Pipeline</w:t>
            </w:r>
          </w:p>
        </w:tc>
        <w:tc>
          <w:tcPr>
            <w:tcW w:type="dxa" w:w="3312"/>
          </w:tcPr>
          <w:p>
            <w:r>
              <w:t>Aplicar hierarquia de fontes e exigir documento formal para regras relacionadas a carga perigosa.</w:t>
            </w:r>
          </w:p>
        </w:tc>
      </w:tr>
      <w:tr>
        <w:tc>
          <w:tcPr>
            <w:tcW w:type="dxa" w:w="3312"/>
          </w:tcPr>
          <w:p>
            <w:r>
              <w:t>Resposta 6 — carga perigosa + frete expresso</w:t>
            </w:r>
          </w:p>
        </w:tc>
        <w:tc>
          <w:tcPr>
            <w:tcW w:type="dxa" w:w="3312"/>
          </w:tcPr>
          <w:p>
            <w:r>
              <w:t>HITL</w:t>
            </w:r>
          </w:p>
        </w:tc>
        <w:tc>
          <w:tcPr>
            <w:tcW w:type="dxa" w:w="3312"/>
          </w:tcPr>
          <w:p>
            <w:r>
              <w:t>Encaminhar para validação humana quando houver tema crítico sustentado somente por FAQ informal.</w:t>
            </w:r>
          </w:p>
        </w:tc>
      </w:tr>
      <w:tr>
        <w:tc>
          <w:tcPr>
            <w:tcW w:type="dxa" w:w="3312"/>
          </w:tcPr>
          <w:p>
            <w:r>
              <w:t>Resposta 6 — carga perigosa + frete expresso</w:t>
            </w:r>
          </w:p>
        </w:tc>
        <w:tc>
          <w:tcPr>
            <w:tcW w:type="dxa" w:w="3312"/>
          </w:tcPr>
          <w:p>
            <w:r>
              <w:t>Interface</w:t>
            </w:r>
          </w:p>
        </w:tc>
        <w:tc>
          <w:tcPr>
            <w:tcW w:type="dxa" w:w="3312"/>
          </w:tcPr>
          <w:p>
            <w:r>
              <w:t>Diferenciar visualmente conteúdo confirmado por documento formal de conteúdo informal que requer validação.</w:t>
            </w:r>
          </w:p>
        </w:tc>
      </w:tr>
    </w:tbl>
    <w:p>
      <w:pPr>
        <w:pStyle w:val="Heading2"/>
      </w:pPr>
      <w:r>
        <w:t>7. Conclusão do exercício 3.1</w:t>
      </w:r>
    </w:p>
    <w:p>
      <w:r>
        <w:t>A revisão demonstra que respostas fluentemente formuladas e apresentadas com confiança alta não são necessariamente confiáveis. O principal risco identificado está no uso de informação sem respaldo formal e na transformação de conhecimento informal em regra oficial. As respostas 1, 2, 3 e 5 estão adequadas; a resposta 4 deve ser tratada como alucinação e a resposta 6 como uso inadequado de fonte não confiável.</w:t>
      </w:r>
    </w:p>
    <w:p>
      <w:r>
        <w:br w:type="page"/>
      </w:r>
    </w:p>
    <w:p>
      <w:pPr>
        <w:pStyle w:val="Heading1"/>
      </w:pPr>
      <w:r>
        <w:t>Exercício 3.2 — Harness de produto para melhoria contínua</w:t>
      </w:r>
    </w:p>
    <w:p>
      <w:pPr>
        <w:pStyle w:val="Heading2"/>
      </w:pPr>
      <w:r>
        <w:t>1. Objetivo</w:t>
      </w:r>
    </w:p>
    <w:p>
      <w:r>
        <w:t>Definir como o assistente será evoluído após o go-live sem degradar respostas já corretas, sem romper os guardrails de produto e com pontos claros de validação humana antes de mudanças relevantes chegarem à produção.</w:t>
      </w:r>
    </w:p>
    <w:p>
      <w:pPr>
        <w:pStyle w:val="Heading2"/>
      </w:pPr>
      <w:r>
        <w:t>2. Princípios do harness de produto</w:t>
      </w:r>
    </w:p>
    <w:p>
      <w:pPr>
        <w:pStyle w:val="ListBullet"/>
      </w:pPr>
      <w:r>
        <w:t>Toda melhoria deve partir de uma evidência: feedback de usuário, falha identificada, lacuna documental, problema de retrieval ou necessidade de produto.</w:t>
      </w:r>
    </w:p>
    <w:p>
      <w:pPr>
        <w:pStyle w:val="ListBullet"/>
      </w:pPr>
      <w:r>
        <w:t>Mudanças em prompt, documentos, indexação ou comportamento devem passar por regression testing de produto antes da publicação.</w:t>
      </w:r>
    </w:p>
    <w:p>
      <w:pPr>
        <w:pStyle w:val="ListBullet"/>
      </w:pPr>
      <w:r>
        <w:t>Os guardrails DEVE / NÃO DEVE / QUANDO EM DÚVIDA definidos na fase anterior são invariantes e não podem regredir.</w:t>
      </w:r>
    </w:p>
    <w:p>
      <w:pPr>
        <w:pStyle w:val="ListBullet"/>
      </w:pPr>
      <w:r>
        <w:t>Mudanças de maior risco devem possuir Human-in-the-Loop antes do deploy.</w:t>
      </w:r>
    </w:p>
    <w:p>
      <w:pPr>
        <w:pStyle w:val="Heading2"/>
      </w:pPr>
      <w:r>
        <w:t>3. Processo de feedback</w:t>
      </w:r>
    </w:p>
    <w:p>
      <w:pPr>
        <w:pStyle w:val="ListNumber"/>
      </w:pPr>
      <w:r>
        <w:rPr>
          <w:b/>
        </w:rPr>
        <w:t xml:space="preserve">1. Registro — </w:t>
      </w:r>
      <w:r>
        <w:t>O atendente sinaliza resposta errada, desatualizada, incompleta, ambígua ou sem respaldo confiável.</w:t>
      </w:r>
    </w:p>
    <w:p>
      <w:pPr>
        <w:pStyle w:val="ListNumber"/>
      </w:pPr>
      <w:r>
        <w:rPr>
          <w:b/>
        </w:rPr>
        <w:t xml:space="preserve">2. Triagem — </w:t>
      </w:r>
      <w:r>
        <w:t>O feedback é classificado por tipo de problema: documentação, prompt, retrieval, indexação, guardrail, interface ou ausência de conhecimento.</w:t>
      </w:r>
    </w:p>
    <w:p>
      <w:pPr>
        <w:pStyle w:val="ListNumber"/>
      </w:pPr>
      <w:r>
        <w:rPr>
          <w:b/>
        </w:rPr>
        <w:t xml:space="preserve">3. Validação — </w:t>
      </w:r>
      <w:r>
        <w:t>O Product Specialist compara a resposta com a fonte de verdade e confirma se há erro real, gap documental ou uso incorreto de fonte.</w:t>
      </w:r>
    </w:p>
    <w:p>
      <w:pPr>
        <w:pStyle w:val="ListNumber"/>
      </w:pPr>
      <w:r>
        <w:rPr>
          <w:b/>
        </w:rPr>
        <w:t xml:space="preserve">4. Definição da ação — </w:t>
      </w:r>
      <w:r>
        <w:t>Documento ausente ou incorreto pode exigir criação/correção; conteúdo atualizado pode exigir reindexação; erro de comportamento pode exigir ajuste de prompt; problema de recuperação pode exigir ajuste de pipeline.</w:t>
      </w:r>
    </w:p>
    <w:p>
      <w:pPr>
        <w:pStyle w:val="ListNumber"/>
      </w:pPr>
      <w:r>
        <w:rPr>
          <w:b/>
        </w:rPr>
        <w:t xml:space="preserve">5. Implementação — </w:t>
      </w:r>
      <w:r>
        <w:t>A alteração é aplicada em ambiente controlado, sem publicação direta em produção.</w:t>
      </w:r>
    </w:p>
    <w:p>
      <w:pPr>
        <w:pStyle w:val="ListNumber"/>
      </w:pPr>
      <w:r>
        <w:rPr>
          <w:b/>
        </w:rPr>
        <w:t xml:space="preserve">6. Regression testing — </w:t>
      </w:r>
      <w:r>
        <w:t>A nova versão é testada contra casos já aprovados e casos relacionados ao problema corrigido.</w:t>
      </w:r>
    </w:p>
    <w:p>
      <w:pPr>
        <w:pStyle w:val="ListNumber"/>
      </w:pPr>
      <w:r>
        <w:rPr>
          <w:b/>
        </w:rPr>
        <w:t xml:space="preserve">7. Aprovação humana — </w:t>
      </w:r>
      <w:r>
        <w:t>Mudanças de risco passam pelo checkpoint humano definido neste harness.</w:t>
      </w:r>
    </w:p>
    <w:p>
      <w:pPr>
        <w:pStyle w:val="ListNumber"/>
      </w:pPr>
      <w:r>
        <w:rPr>
          <w:b/>
        </w:rPr>
        <w:t xml:space="preserve">8. Produção — </w:t>
      </w:r>
      <w:r>
        <w:t>A alteração aprovada é publicada.</w:t>
      </w:r>
    </w:p>
    <w:p>
      <w:pPr>
        <w:pStyle w:val="ListNumber"/>
      </w:pPr>
      <w:r>
        <w:rPr>
          <w:b/>
        </w:rPr>
        <w:t xml:space="preserve">9. Monitoramento — </w:t>
      </w:r>
      <w:r>
        <w:t>O time acompanha feedback e métricas para confirmar melhora e detectar regressões.</w:t>
      </w:r>
    </w:p>
    <w:p>
      <w:pPr>
        <w:pStyle w:val="Heading2"/>
      </w:pPr>
      <w:r>
        <w:t>4. Matriz de tratamento do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Sintoma</w:t>
            </w:r>
          </w:p>
        </w:tc>
        <w:tc>
          <w:tcPr>
            <w:tcW w:type="dxa" w:w="3312"/>
          </w:tcPr>
          <w:p>
            <w:r>
              <w:t>Classificação</w:t>
            </w:r>
          </w:p>
        </w:tc>
        <w:tc>
          <w:tcPr>
            <w:tcW w:type="dxa" w:w="3312"/>
          </w:tcPr>
          <w:p>
            <w:r>
              <w:t>Ação esperada</w:t>
            </w:r>
          </w:p>
        </w:tc>
      </w:tr>
      <w:tr>
        <w:tc>
          <w:tcPr>
            <w:tcW w:type="dxa" w:w="3312"/>
          </w:tcPr>
          <w:p>
            <w:r>
              <w:t>Informação ausente na base</w:t>
            </w:r>
          </w:p>
        </w:tc>
        <w:tc>
          <w:tcPr>
            <w:tcW w:type="dxa" w:w="3312"/>
          </w:tcPr>
          <w:p>
            <w:r>
              <w:t>Gap documental</w:t>
            </w:r>
          </w:p>
        </w:tc>
        <w:tc>
          <w:tcPr>
            <w:tcW w:type="dxa" w:w="3312"/>
          </w:tcPr>
          <w:p>
            <w:r>
              <w:t>Criar ou validar novo documento oficial antes de indexar</w:t>
            </w:r>
          </w:p>
        </w:tc>
      </w:tr>
      <w:tr>
        <w:tc>
          <w:tcPr>
            <w:tcW w:type="dxa" w:w="3312"/>
          </w:tcPr>
          <w:p>
            <w:r>
              <w:t>Documento correto, mas resposta incorreta</w:t>
            </w:r>
          </w:p>
        </w:tc>
        <w:tc>
          <w:tcPr>
            <w:tcW w:type="dxa" w:w="3312"/>
          </w:tcPr>
          <w:p>
            <w:r>
              <w:t>Prompt / geração</w:t>
            </w:r>
          </w:p>
        </w:tc>
        <w:tc>
          <w:tcPr>
            <w:tcW w:type="dxa" w:w="3312"/>
          </w:tcPr>
          <w:p>
            <w:r>
              <w:t>Ajustar instruções e testar comportamento</w:t>
            </w:r>
          </w:p>
        </w:tc>
      </w:tr>
      <w:tr>
        <w:tc>
          <w:tcPr>
            <w:tcW w:type="dxa" w:w="3312"/>
          </w:tcPr>
          <w:p>
            <w:r>
              <w:t>Documento atualizado não aparece nas respostas</w:t>
            </w:r>
          </w:p>
        </w:tc>
        <w:tc>
          <w:tcPr>
            <w:tcW w:type="dxa" w:w="3312"/>
          </w:tcPr>
          <w:p>
            <w:r>
              <w:t>Indexação</w:t>
            </w:r>
          </w:p>
        </w:tc>
        <w:tc>
          <w:tcPr>
            <w:tcW w:type="dxa" w:w="3312"/>
          </w:tcPr>
          <w:p>
            <w:r>
              <w:t>Reindexar e validar recuperação</w:t>
            </w:r>
          </w:p>
        </w:tc>
      </w:tr>
      <w:tr>
        <w:tc>
          <w:tcPr>
            <w:tcW w:type="dxa" w:w="3312"/>
          </w:tcPr>
          <w:p>
            <w:r>
              <w:t>Chunk inadequado ou irrelevante recuperado</w:t>
            </w:r>
          </w:p>
        </w:tc>
        <w:tc>
          <w:tcPr>
            <w:tcW w:type="dxa" w:w="3312"/>
          </w:tcPr>
          <w:p>
            <w:r>
              <w:t>Retrieval / pipeline</w:t>
            </w:r>
          </w:p>
        </w:tc>
        <w:tc>
          <w:tcPr>
            <w:tcW w:type="dxa" w:w="3312"/>
          </w:tcPr>
          <w:p>
            <w:r>
              <w:t>Revisar recuperação, relevância ou estratégia de chunking</w:t>
            </w:r>
          </w:p>
        </w:tc>
      </w:tr>
      <w:tr>
        <w:tc>
          <w:tcPr>
            <w:tcW w:type="dxa" w:w="3312"/>
          </w:tcPr>
          <w:p>
            <w:r>
              <w:t>Fonte informal usada como regra oficial</w:t>
            </w:r>
          </w:p>
        </w:tc>
        <w:tc>
          <w:tcPr>
            <w:tcW w:type="dxa" w:w="3312"/>
          </w:tcPr>
          <w:p>
            <w:r>
              <w:t>Governança de fontes</w:t>
            </w:r>
          </w:p>
        </w:tc>
        <w:tc>
          <w:tcPr>
            <w:tcW w:type="dxa" w:w="3312"/>
          </w:tcPr>
          <w:p>
            <w:r>
              <w:t>Aplicar hierarquia de confiança e bloquear alta confiança sem fonte formal</w:t>
            </w:r>
          </w:p>
        </w:tc>
      </w:tr>
      <w:tr>
        <w:tc>
          <w:tcPr>
            <w:tcW w:type="dxa" w:w="3312"/>
          </w:tcPr>
          <w:p>
            <w:r>
              <w:t>Guardrail violado</w:t>
            </w:r>
          </w:p>
        </w:tc>
        <w:tc>
          <w:tcPr>
            <w:tcW w:type="dxa" w:w="3312"/>
          </w:tcPr>
          <w:p>
            <w:r>
              <w:t>Produto / segurança</w:t>
            </w:r>
          </w:p>
        </w:tc>
        <w:tc>
          <w:tcPr>
            <w:tcW w:type="dxa" w:w="3312"/>
          </w:tcPr>
          <w:p>
            <w:r>
              <w:t>Bloquear publicação e corrigir antes de produção</w:t>
            </w:r>
          </w:p>
        </w:tc>
      </w:tr>
    </w:tbl>
    <w:p>
      <w:pPr>
        <w:pStyle w:val="Heading2"/>
      </w:pPr>
      <w:r>
        <w:t>5. Regression testing de produto</w:t>
      </w:r>
    </w:p>
    <w:p>
      <w:r>
        <w:t>Antes de qualquer mudança em prompt, documentação, indexação ou pipeline, deve ser executada uma bateria de regressão que compare o comportamento atual com a nova versão.</w:t>
      </w:r>
    </w:p>
    <w:p>
      <w:pPr>
        <w:pStyle w:val="ListBullet"/>
      </w:pPr>
      <w:r>
        <w:t>Reexecutar perguntas já aprovadas para confirmar que respostas corretas continuam corretas.</w:t>
      </w:r>
    </w:p>
    <w:p>
      <w:pPr>
        <w:pStyle w:val="ListBullet"/>
      </w:pPr>
      <w:r>
        <w:t>Adicionar casos específicos relacionados ao problema que motivou a mudança.</w:t>
      </w:r>
    </w:p>
    <w:p>
      <w:pPr>
        <w:pStyle w:val="ListBullet"/>
      </w:pPr>
      <w:r>
        <w:t>Validar presença e adequação da fonte citada.</w:t>
      </w:r>
    </w:p>
    <w:p>
      <w:pPr>
        <w:pStyle w:val="ListBullet"/>
      </w:pPr>
      <w:r>
        <w:t>Confirmar que o assistente não passou a inventar informações quando não há cobertura documental.</w:t>
      </w:r>
    </w:p>
    <w:p>
      <w:pPr>
        <w:pStyle w:val="ListBullet"/>
      </w:pPr>
      <w:r>
        <w:t>Validar casos de conflito entre documentos, especialmente PROC-042 e PROC-042-v2.</w:t>
      </w:r>
    </w:p>
    <w:p>
      <w:pPr>
        <w:pStyle w:val="ListBullet"/>
      </w:pPr>
      <w:r>
        <w:t>Validar casos de fonte informal, especialmente FAQ-Atendimento, para garantir que informação crítica não seja apresentada como regra oficial.</w:t>
      </w:r>
    </w:p>
    <w:p>
      <w:pPr>
        <w:pStyle w:val="ListBullet"/>
      </w:pPr>
      <w:r>
        <w:t>Reexecutar os guardrails DEVE / NÃO DEVE / QUANDO EM DÚVIDA da fase anterior.</w:t>
      </w:r>
    </w:p>
    <w:p>
      <w:pPr>
        <w:pStyle w:val="ListBullet"/>
      </w:pPr>
      <w:r>
        <w:t>Comparar resultados antes e depois da mudança e bloquear a publicação em caso de regressão relevante.</w:t>
      </w:r>
    </w:p>
    <w:p>
      <w:pPr>
        <w:pStyle w:val="Heading2"/>
      </w:pPr>
      <w:r>
        <w:t>6. Casos mínimos de regressão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Caso</w:t>
            </w:r>
          </w:p>
        </w:tc>
        <w:tc>
          <w:tcPr>
            <w:tcW w:type="dxa" w:w="4968"/>
          </w:tcPr>
          <w:p>
            <w:r>
              <w:t>Resultado esperado</w:t>
            </w:r>
          </w:p>
        </w:tc>
      </w:tr>
      <w:tr>
        <w:tc>
          <w:tcPr>
            <w:tcW w:type="dxa" w:w="4968"/>
          </w:tcPr>
          <w:p>
            <w:r>
              <w:t>Prazo de devolução</w:t>
            </w:r>
          </w:p>
        </w:tc>
        <w:tc>
          <w:tcPr>
            <w:tcW w:type="dxa" w:w="4968"/>
          </w:tcPr>
          <w:p>
            <w:r>
              <w:t>Deve responder 7 dias úteis e citar POL-001.</w:t>
            </w:r>
          </w:p>
        </w:tc>
      </w:tr>
      <w:tr>
        <w:tc>
          <w:tcPr>
            <w:tcW w:type="dxa" w:w="4968"/>
          </w:tcPr>
          <w:p>
            <w:r>
              <w:t>Devolução de carga perigosa</w:t>
            </w:r>
          </w:p>
        </w:tc>
        <w:tc>
          <w:tcPr>
            <w:tcW w:type="dxa" w:w="4968"/>
          </w:tcPr>
          <w:p>
            <w:r>
              <w:t>Deve informar que não é elegível pelo processo padrão e orientar tratamento pela Gestão de Riscos.</w:t>
            </w:r>
          </w:p>
        </w:tc>
      </w:tr>
      <w:tr>
        <w:tc>
          <w:tcPr>
            <w:tcW w:type="dxa" w:w="4968"/>
          </w:tcPr>
          <w:p>
            <w:r>
              <w:t>SLA Silver</w:t>
            </w:r>
          </w:p>
        </w:tc>
        <w:tc>
          <w:tcPr>
            <w:tcW w:type="dxa" w:w="4968"/>
          </w:tcPr>
          <w:p>
            <w:r>
              <w:t>Deve retornar até 48h úteis para resolução de chamados gerais.</w:t>
            </w:r>
          </w:p>
        </w:tc>
      </w:tr>
      <w:tr>
        <w:tc>
          <w:tcPr>
            <w:tcW w:type="dxa" w:w="4968"/>
          </w:tcPr>
          <w:p>
            <w:r>
              <w:t>Tier inexistente</w:t>
            </w:r>
          </w:p>
        </w:tc>
        <w:tc>
          <w:tcPr>
            <w:tcW w:type="dxa" w:w="4968"/>
          </w:tcPr>
          <w:p>
            <w:r>
              <w:t>Não deve inventar SLA; deve informar que só existem Gold, Silver e Standard.</w:t>
            </w:r>
          </w:p>
        </w:tc>
      </w:tr>
      <w:tr>
        <w:tc>
          <w:tcPr>
            <w:tcW w:type="dxa" w:w="4968"/>
          </w:tcPr>
          <w:p>
            <w:r>
              <w:t>Carga danificada</w:t>
            </w:r>
          </w:p>
        </w:tc>
        <w:tc>
          <w:tcPr>
            <w:tcW w:type="dxa" w:w="4968"/>
          </w:tcPr>
          <w:p>
            <w:r>
              <w:t>Não deve apresentar FAQ informal como política formal.</w:t>
            </w:r>
          </w:p>
        </w:tc>
      </w:tr>
      <w:tr>
        <w:tc>
          <w:tcPr>
            <w:tcW w:type="dxa" w:w="4968"/>
          </w:tcPr>
          <w:p>
            <w:r>
              <w:t>Carga perigosa com frete expresso</w:t>
            </w:r>
          </w:p>
        </w:tc>
        <w:tc>
          <w:tcPr>
            <w:tcW w:type="dxa" w:w="4968"/>
          </w:tcPr>
          <w:p>
            <w:r>
              <w:t>Não deve afirmar autorização como regra formal sem validação humana ou documento normativo.</w:t>
            </w:r>
          </w:p>
        </w:tc>
      </w:tr>
      <w:tr>
        <w:tc>
          <w:tcPr>
            <w:tcW w:type="dxa" w:w="4968"/>
          </w:tcPr>
          <w:p>
            <w:r>
              <w:t>PROC-042 x PROC-042-v2</w:t>
            </w:r>
          </w:p>
        </w:tc>
        <w:tc>
          <w:tcPr>
            <w:tcW w:type="dxa" w:w="4968"/>
          </w:tcPr>
          <w:p>
            <w:r>
              <w:t>Não deve misturar valores de versões diferentes; deve considerar o conflito documental.</w:t>
            </w:r>
          </w:p>
        </w:tc>
      </w:tr>
      <w:tr>
        <w:tc>
          <w:tcPr>
            <w:tcW w:type="dxa" w:w="4968"/>
          </w:tcPr>
          <w:p>
            <w:r>
              <w:t>Pergunta sem cobertura</w:t>
            </w:r>
          </w:p>
        </w:tc>
        <w:tc>
          <w:tcPr>
            <w:tcW w:type="dxa" w:w="4968"/>
          </w:tcPr>
          <w:p>
            <w:r>
              <w:t>Deve reconhecer ausência de informação e evitar completar a resposta com conhecimento geral.</w:t>
            </w:r>
          </w:p>
        </w:tc>
      </w:tr>
    </w:tbl>
    <w:p>
      <w:pPr>
        <w:pStyle w:val="Heading2"/>
      </w:pPr>
      <w:r>
        <w:t>7. Preservação dos guardrails</w:t>
      </w:r>
    </w:p>
    <w:p>
      <w:r>
        <w:t>Os guardrails formalizados no cenário anterior devem ser tratados como invariantes de produto. Toda alteração deve comprovar que as regras continuam válidas antes da publicação.</w:t>
      </w:r>
    </w:p>
    <w:p>
      <w:pPr>
        <w:pStyle w:val="ListBullet"/>
      </w:pPr>
      <w:r>
        <w:t>DEVE: responder com base na documentação disponível e indicar a fonte utilizada.</w:t>
      </w:r>
    </w:p>
    <w:p>
      <w:pPr>
        <w:pStyle w:val="ListBullet"/>
      </w:pPr>
      <w:r>
        <w:t>NÃO DEVE: inventar regras, prazos, valores, procedimentos ou completar lacunas sem respaldo documental.</w:t>
      </w:r>
    </w:p>
    <w:p>
      <w:pPr>
        <w:pStyle w:val="ListBullet"/>
      </w:pPr>
      <w:r>
        <w:t>QUANDO EM DÚVIDA: reconhecer conflito, baixa confiança ou ausência de informação e encaminhar para validação humana ou fonte oficial.</w:t>
      </w:r>
    </w:p>
    <w:p>
      <w:pPr>
        <w:pStyle w:val="Heading2"/>
      </w:pPr>
      <w:r>
        <w:t>8. Human-in-the-Loop (HITL)</w:t>
      </w:r>
    </w:p>
    <w:p>
      <w:r>
        <w:t>Mudanças com impacto relevante no comportamento do assistente não devem ir diretamente para produção. O harness define checkpoints de aprovação humana proporcionais ao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Mudança</w:t>
            </w:r>
          </w:p>
        </w:tc>
        <w:tc>
          <w:tcPr>
            <w:tcW w:type="dxa" w:w="3312"/>
          </w:tcPr>
          <w:p>
            <w:r>
              <w:t>Aprovador(es)</w:t>
            </w:r>
          </w:p>
        </w:tc>
        <w:tc>
          <w:tcPr>
            <w:tcW w:type="dxa" w:w="3312"/>
          </w:tcPr>
          <w:p>
            <w:r>
              <w:t>Checkpoint</w:t>
            </w:r>
          </w:p>
        </w:tc>
      </w:tr>
      <w:tr>
        <w:tc>
          <w:tcPr>
            <w:tcW w:type="dxa" w:w="3312"/>
          </w:tcPr>
          <w:p>
            <w:r>
              <w:t>Alteração de system prompt ou regra de comportamento</w:t>
            </w:r>
          </w:p>
        </w:tc>
        <w:tc>
          <w:tcPr>
            <w:tcW w:type="dxa" w:w="3312"/>
          </w:tcPr>
          <w:p>
            <w:r>
              <w:t>Product Specialist</w:t>
            </w:r>
          </w:p>
        </w:tc>
        <w:tc>
          <w:tcPr>
            <w:tcW w:type="dxa" w:w="3312"/>
          </w:tcPr>
          <w:p>
            <w:r>
              <w:t>Valida impacto sobre experiência, escopo e guardrails</w:t>
            </w:r>
          </w:p>
        </w:tc>
      </w:tr>
      <w:tr>
        <w:tc>
          <w:tcPr>
            <w:tcW w:type="dxa" w:w="3312"/>
          </w:tcPr>
          <w:p>
            <w:r>
              <w:t>Alteração em guardrail</w:t>
            </w:r>
          </w:p>
        </w:tc>
        <w:tc>
          <w:tcPr>
            <w:tcW w:type="dxa" w:w="3312"/>
          </w:tcPr>
          <w:p>
            <w:r>
              <w:t>Product Specialist + Tech Lead</w:t>
            </w:r>
          </w:p>
        </w:tc>
        <w:tc>
          <w:tcPr>
            <w:tcW w:type="dxa" w:w="3312"/>
          </w:tcPr>
          <w:p>
            <w:r>
              <w:t>Exige validação funcional e técnica antes de produção</w:t>
            </w:r>
          </w:p>
        </w:tc>
      </w:tr>
      <w:tr>
        <w:tc>
          <w:tcPr>
            <w:tcW w:type="dxa" w:w="3312"/>
          </w:tcPr>
          <w:p>
            <w:r>
              <w:t>Inclusão ou alteração de documento crítico</w:t>
            </w:r>
          </w:p>
        </w:tc>
        <w:tc>
          <w:tcPr>
            <w:tcW w:type="dxa" w:w="3312"/>
          </w:tcPr>
          <w:p>
            <w:r>
              <w:t>Responsável de negócio + Product Specialist</w:t>
            </w:r>
          </w:p>
        </w:tc>
        <w:tc>
          <w:tcPr>
            <w:tcW w:type="dxa" w:w="3312"/>
          </w:tcPr>
          <w:p>
            <w:r>
              <w:t>Confirma que a fonte é oficial, vigente e apropriada para indexação</w:t>
            </w:r>
          </w:p>
        </w:tc>
      </w:tr>
      <w:tr>
        <w:tc>
          <w:tcPr>
            <w:tcW w:type="dxa" w:w="3312"/>
          </w:tcPr>
          <w:p>
            <w:r>
              <w:t>Mudança em comportamento envolvendo carga perigosa</w:t>
            </w:r>
          </w:p>
        </w:tc>
        <w:tc>
          <w:tcPr>
            <w:tcW w:type="dxa" w:w="3312"/>
          </w:tcPr>
          <w:p>
            <w:r>
              <w:t>Responsável de negócio / área responsável + Product Specialist</w:t>
            </w:r>
          </w:p>
        </w:tc>
        <w:tc>
          <w:tcPr>
            <w:tcW w:type="dxa" w:w="3312"/>
          </w:tcPr>
          <w:p>
            <w:r>
              <w:t>Tema crítico exige validação humana antes de disponibilização</w:t>
            </w:r>
          </w:p>
        </w:tc>
      </w:tr>
      <w:tr>
        <w:tc>
          <w:tcPr>
            <w:tcW w:type="dxa" w:w="3312"/>
          </w:tcPr>
          <w:p>
            <w:r>
              <w:t>Mudança no pipeline ou retrieval com impacto em respostas</w:t>
            </w:r>
          </w:p>
        </w:tc>
        <w:tc>
          <w:tcPr>
            <w:tcW w:type="dxa" w:w="3312"/>
          </w:tcPr>
          <w:p>
            <w:r>
              <w:t>Tech Lead + Product Specialist</w:t>
            </w:r>
          </w:p>
        </w:tc>
        <w:tc>
          <w:tcPr>
            <w:tcW w:type="dxa" w:w="3312"/>
          </w:tcPr>
          <w:p>
            <w:r>
              <w:t>Avalia risco técnico e regressão de produto</w:t>
            </w:r>
          </w:p>
        </w:tc>
      </w:tr>
    </w:tbl>
    <w:p>
      <w:pPr>
        <w:pStyle w:val="Heading2"/>
      </w:pPr>
      <w:r>
        <w:t>9. Critérios de aprovação para produção</w:t>
      </w:r>
    </w:p>
    <w:p>
      <w:pPr>
        <w:pStyle w:val="ListBullet"/>
      </w:pPr>
      <w:r>
        <w:t>O problema que motivou a mudança foi corrigido no caso-alvo.</w:t>
      </w:r>
    </w:p>
    <w:p>
      <w:pPr>
        <w:pStyle w:val="ListBullet"/>
      </w:pPr>
      <w:r>
        <w:t>Casos previamente aprovados continuam corretos.</w:t>
      </w:r>
    </w:p>
    <w:p>
      <w:pPr>
        <w:pStyle w:val="ListBullet"/>
      </w:pPr>
      <w:r>
        <w:t>Os guardrails não apresentaram regressão.</w:t>
      </w:r>
    </w:p>
    <w:p>
      <w:pPr>
        <w:pStyle w:val="ListBullet"/>
      </w:pPr>
      <w:r>
        <w:t>Fontes citadas são adequadas ao tipo de informação.</w:t>
      </w:r>
    </w:p>
    <w:p>
      <w:pPr>
        <w:pStyle w:val="ListBullet"/>
      </w:pPr>
      <w:r>
        <w:t>Não foram introduzidas novas respostas com suposição ou alucinação.</w:t>
      </w:r>
    </w:p>
    <w:p>
      <w:pPr>
        <w:pStyle w:val="ListBullet"/>
      </w:pPr>
      <w:r>
        <w:t>Mudanças sujeitas a HITL possuem aprovação registrada.</w:t>
      </w:r>
    </w:p>
    <w:p>
      <w:pPr>
        <w:pStyle w:val="Heading2"/>
      </w:pPr>
      <w:r>
        <w:t>10. Fluxo resumido do harness de produto</w:t>
      </w:r>
    </w:p>
    <w:p>
      <w:pPr>
        <w:jc w:val="center"/>
      </w:pPr>
      <w:r>
        <w:rPr>
          <w:b/>
        </w:rPr>
        <w:t>Feedback → Triagem → Classificação → Ação → Regression Testing → Aprovação Humana → Produção → Monitoramento</w:t>
      </w:r>
    </w:p>
    <w:p>
      <w:pPr>
        <w:pStyle w:val="Heading2"/>
      </w:pPr>
      <w:r>
        <w:t>11. Conclusão do exercício 3.2</w:t>
      </w:r>
    </w:p>
    <w:p>
      <w:r>
        <w:t>O harness de produto cria um ciclo controlado de melhoria contínua. O feedback deixa de ser apenas registrado e passa a gerar ações rastreáveis; toda mudança é validada contra respostas já aprovadas e contra os guardrails existentes; e alterações de maior risco passam por Human-in-the-Loop antes da produção. Dessa forma, o assistente pode evoluir sem perder confiabilidade ou governança.</w:t>
      </w:r>
    </w:p>
    <w:p>
      <w:pPr>
        <w:pStyle w:val="Heading1"/>
      </w:pPr>
      <w:r>
        <w:t>Referências utilizadas no cenário</w:t>
      </w:r>
    </w:p>
    <w:p>
      <w:pPr>
        <w:pStyle w:val="ListBullet"/>
      </w:pPr>
      <w:r>
        <w:t>Anexo A — Documentação Simulada da NovaTech.</w:t>
      </w:r>
    </w:p>
    <w:p>
      <w:pPr>
        <w:pStyle w:val="ListBullet"/>
      </w:pPr>
      <w:r>
        <w:t>POL-001 — Política de Devolução de Mercadorias, versão 3.1.</w:t>
      </w:r>
    </w:p>
    <w:p>
      <w:pPr>
        <w:pStyle w:val="ListBullet"/>
      </w:pPr>
      <w:r>
        <w:t>PROC-042 — Procedimento de Cálculo de Frete Especial, versão 1.0.</w:t>
      </w:r>
    </w:p>
    <w:p>
      <w:pPr>
        <w:pStyle w:val="ListBullet"/>
      </w:pPr>
      <w:r>
        <w:t>PROC-042-v2 — Procedimento de Cálculo de Frete Especial (Revisado), versão 2.0.</w:t>
      </w:r>
    </w:p>
    <w:p>
      <w:pPr>
        <w:pStyle w:val="ListBullet"/>
      </w:pPr>
      <w:r>
        <w:t>SLA-2024 — Tabela de SLA por Tipo de Cliente, versão 2024.1.</w:t>
      </w:r>
    </w:p>
    <w:p>
      <w:pPr>
        <w:pStyle w:val="ListBullet"/>
      </w:pPr>
      <w:r>
        <w:t>FAQ-Atendimento — Perguntas Frequentes do Time de Suporte.</w:t>
      </w:r>
    </w:p>
    <w:p>
      <w:pPr>
        <w:pStyle w:val="ListBullet"/>
      </w:pPr>
      <w:r>
        <w:t>Anexo B — Chunks de Referência do Pipeline de RAG.</w:t>
      </w:r>
    </w:p>
    <w:p>
      <w:pPr>
        <w:pStyle w:val="ListBullet"/>
      </w:pPr>
      <w:r>
        <w:t>Cenário-Âncora 3 — Fase de Governança e Validação.</w:t>
      </w:r>
    </w:p>
    <w:p>
      <w:pPr>
        <w:pStyle w:val="ListBullet"/>
      </w:pPr>
      <w:r>
        <w:t>Skill de Avaliação — Product Specialist (Cenário 3).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Cenário 3 — Product Specialist | Governança e Validação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