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Exercício 3.1 — Avaliação do Segundo Avaliador (Claude)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Cenário 3 — Governança e Validação | Papel: Product Specialist | Trilha de Certificação AI First — DGS / DB1 Global Software</w:t>
      </w:r>
    </w:p>
    <w:p>
      <w:pPr>
        <w:pStyle w:val="Heading1"/>
      </w:pPr>
      <w:r>
        <w:rPr>
          <w:rFonts w:ascii="Arial" w:cs="Arial" w:eastAsia="Arial" w:hAnsi="Arial"/>
        </w:rPr>
        <w:t xml:space="preserve">1. Escopo e limitações da base de evidências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Esta avaliação foi feita de forma independente, usando exclusivamente o documento fornecido (Cenário 3 — Product Specialist — Governança e Validação), sem conhecimento externo e sem criar regras de negócio.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Limitação importante: </w:t>
      </w:r>
      <w:r>
        <w:rPr>
          <w:rFonts w:ascii="Arial" w:cs="Arial" w:eastAsia="Arial" w:hAnsi="Arial"/>
          <w:sz w:val="21"/>
          <w:szCs w:val="21"/>
        </w:rPr>
        <w:t xml:space="preserve">o Anexo A — Documentação Simulada da NovaTech não foi enviado como arquivo, e o texto literal das 6 respostas simuladas do assistente também não consta no material. O que está disponível são as perguntas, as referências documentais (POL-001, SLA-2024, FAQ-Atendimento, Anexo A) e as descrições desses documentos contidas no próprio Cenário 3.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Consequências práticas: as avaliações abaixo se apoiam no conteúdo documental descrito no Cenário 3, que funciona aqui como fonte secundária do Anexo A. Onde a conclusão depende do texto exato da resposta ou de um trecho do Anexo A que não está no material, isso está sinalizado explicitamente. Recomenda-se confrontar este parecer com o Anexo A e com as respostas literais antes da entrega final.</w:t>
      </w:r>
    </w:p>
    <w:p>
      <w:pPr>
        <w:pStyle w:val="Heading1"/>
      </w:pPr>
      <w:r>
        <w:rPr>
          <w:rFonts w:ascii="Arial" w:cs="Arial" w:eastAsia="Arial" w:hAnsi="Arial"/>
        </w:rPr>
        <w:t xml:space="preserve">2. Critérios aplicados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Hierarquia de fontes: </w:t>
      </w:r>
      <w:r>
        <w:rPr>
          <w:rFonts w:ascii="Arial" w:cs="Arial" w:eastAsia="Arial" w:hAnsi="Arial"/>
          <w:sz w:val="21"/>
          <w:szCs w:val="21"/>
        </w:rPr>
        <w:t xml:space="preserve">POL (política) e SLA são documentos formais/normativos; PROC é procedimental; FAQ-Atendimento é fonte informal, não controlada e não validada.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Correta: </w:t>
      </w:r>
      <w:r>
        <w:rPr>
          <w:rFonts w:ascii="Arial" w:cs="Arial" w:eastAsia="Arial" w:hAnsi="Arial"/>
          <w:sz w:val="21"/>
          <w:szCs w:val="21"/>
        </w:rPr>
        <w:t xml:space="preserve">conteúdo e enquadramento coincidem com documento formal adequado.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Parcialmente correta / com ressalva: </w:t>
      </w:r>
      <w:r>
        <w:rPr>
          <w:rFonts w:ascii="Arial" w:cs="Arial" w:eastAsia="Arial" w:hAnsi="Arial"/>
          <w:sz w:val="21"/>
          <w:szCs w:val="21"/>
        </w:rPr>
        <w:t xml:space="preserve">valor correto, mas escopo, completude ou sinalização insuficientes.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Incorreta: </w:t>
      </w:r>
      <w:r>
        <w:rPr>
          <w:rFonts w:ascii="Arial" w:cs="Arial" w:eastAsia="Arial" w:hAnsi="Arial"/>
          <w:sz w:val="21"/>
          <w:szCs w:val="21"/>
        </w:rPr>
        <w:t xml:space="preserve">a resposta entrega ao atendente uma regra que a base formal não sustenta, independentemente de o texto ter origem em alguma fonte.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Guardrails do Cenário 3: </w:t>
      </w:r>
      <w:r>
        <w:rPr>
          <w:rFonts w:ascii="Arial" w:cs="Arial" w:eastAsia="Arial" w:hAnsi="Arial"/>
          <w:sz w:val="21"/>
          <w:szCs w:val="21"/>
        </w:rPr>
        <w:t xml:space="preserve">DEVE citar a fonte; NÃO DEVE inventar regras ou completar lacunas; QUANDO EM DÚVIDA, reconhecer conflito, baixa confiança ou ausência e encaminhar para validação humana.</w:t>
      </w:r>
    </w:p>
    <w:p>
      <w:pPr>
        <w:pStyle w:val="Heading1"/>
      </w:pPr>
      <w:r>
        <w:rPr>
          <w:rFonts w:ascii="Arial" w:cs="Arial" w:eastAsia="Arial" w:hAnsi="Arial"/>
        </w:rPr>
        <w:t xml:space="preserve">3. Avaliação individual das respostas</w:t>
      </w:r>
    </w:p>
    <w:p>
      <w:pPr>
        <w:pStyle w:val="Heading2"/>
      </w:pPr>
      <w:r>
        <w:rPr>
          <w:rFonts w:ascii="Arial" w:cs="Arial" w:eastAsia="Arial" w:hAnsi="Arial"/>
        </w:rPr>
        <w:t xml:space="preserve">Resposta 1 — “Qual o prazo de devolução para produtos standard?”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Avaliação: </w:t>
      </w:r>
      <w:r>
        <w:rPr>
          <w:rFonts w:ascii="Arial" w:cs="Arial" w:eastAsia="Arial" w:hAnsi="Arial"/>
          <w:sz w:val="21"/>
          <w:szCs w:val="21"/>
        </w:rPr>
        <w:t xml:space="preserve">Correta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Justificativa: </w:t>
      </w:r>
      <w:r>
        <w:rPr>
          <w:rFonts w:ascii="Arial" w:cs="Arial" w:eastAsia="Arial" w:hAnsi="Arial"/>
          <w:sz w:val="21"/>
          <w:szCs w:val="21"/>
        </w:rPr>
        <w:t xml:space="preserve">Segundo o Cenário 3, a POL-001 (Política de Devolução de Mercadorias, v3.1), seções 1, 3.1 e 3.3, estabelece prazo de até 7 dias úteis após o recebimento, com abertura de chamado no Portal do Cliente acompanhada de documentação e fotos. O caso mínimo de regressão do exercício 3.2 confirma o mesmo valor e a mesma fonte. A resposta está alinhada à documentação.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Fonte adequada e confiável?: </w:t>
      </w:r>
      <w:r>
        <w:rPr>
          <w:rFonts w:ascii="Arial" w:cs="Arial" w:eastAsia="Arial" w:hAnsi="Arial"/>
          <w:sz w:val="21"/>
          <w:szCs w:val="21"/>
        </w:rPr>
        <w:t xml:space="preserve">Adequada e confiável. A POL-001 é documento normativo, versionado e é a fonte primária para o tema.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Alucinação, incompletude, conflito ou fonte não confiável?: </w:t>
      </w:r>
      <w:r>
        <w:rPr>
          <w:rFonts w:ascii="Arial" w:cs="Arial" w:eastAsia="Arial" w:hAnsi="Arial"/>
          <w:sz w:val="21"/>
          <w:szCs w:val="21"/>
        </w:rPr>
        <w:t xml:space="preserve">Nenhum problema identificado. Observação de melhoria, não de erro: como a própria POL-001 prevê exceções por tipo de carga (seção 3.2), uma resposta ideal mencionaria brevemente que o prazo standard não se aplica a cargas perigosas.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Comportamento esperado: </w:t>
      </w:r>
      <w:r>
        <w:rPr>
          <w:rFonts w:ascii="Arial" w:cs="Arial" w:eastAsia="Arial" w:hAnsi="Arial"/>
          <w:sz w:val="21"/>
          <w:szCs w:val="21"/>
        </w:rPr>
        <w:t xml:space="preserve">Manter o comportamento: responder 7 dias úteis após o recebimento, descrever o procedimento de abertura de chamado e citar a POL-001 com as seções correspondentes.</w:t>
      </w:r>
    </w:p>
    <w:p>
      <w:pPr>
        <w:pStyle w:val="Heading2"/>
      </w:pPr>
      <w:r>
        <w:rPr>
          <w:rFonts w:ascii="Arial" w:cs="Arial" w:eastAsia="Arial" w:hAnsi="Arial"/>
        </w:rPr>
        <w:t xml:space="preserve">Resposta 2 — “Meu cliente é Silver. Qual o prazo de resolução?”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Avaliação: </w:t>
      </w:r>
      <w:r>
        <w:rPr>
          <w:rFonts w:ascii="Arial" w:cs="Arial" w:eastAsia="Arial" w:hAnsi="Arial"/>
          <w:sz w:val="21"/>
          <w:szCs w:val="21"/>
        </w:rPr>
        <w:t xml:space="preserve">Correta, com ressalva de completude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Justificativa: </w:t>
      </w:r>
      <w:r>
        <w:rPr>
          <w:rFonts w:ascii="Arial" w:cs="Arial" w:eastAsia="Arial" w:hAnsi="Arial"/>
          <w:sz w:val="21"/>
          <w:szCs w:val="21"/>
        </w:rPr>
        <w:t xml:space="preserve">O SLA-2024 (v2024.1), seção 2, define para clientes Silver prazo de resolução de até 48 horas úteis para chamados gerais. O próprio Cenário 3 registra que incidentes críticos têm prazo diferente. A pergunta não especifica o tipo de chamado, portanto é ambígua. O valor de 48h úteis está correto para chamados gerais; porém, se a resposta apresentou esse número como "o" prazo de resolução do cliente Silver, sem delimitar que se refere a chamados gerais, há risco de o atendente aplicá-lo indevidamente a um incidente crítico. O Cenário 3 não informa o prazo de incidentes críticos para Silver, por isso não é possível, com a documentação fornecida, indicar esse valor.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Fonte adequada e confiável?: </w:t>
      </w:r>
      <w:r>
        <w:rPr>
          <w:rFonts w:ascii="Arial" w:cs="Arial" w:eastAsia="Arial" w:hAnsi="Arial"/>
          <w:sz w:val="21"/>
          <w:szCs w:val="21"/>
        </w:rPr>
        <w:t xml:space="preserve">Adequada e confiável. O SLA-2024 é documento formal/contratual, versionado.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Alucinação, incompletude, conflito ou fonte não confiável?: </w:t>
      </w:r>
      <w:r>
        <w:rPr>
          <w:rFonts w:ascii="Arial" w:cs="Arial" w:eastAsia="Arial" w:hAnsi="Arial"/>
          <w:sz w:val="21"/>
          <w:szCs w:val="21"/>
        </w:rPr>
        <w:t xml:space="preserve">Não há alucinação. Existe risco de informação incompleta: a ambiguidade da pergunta (chamado geral x incidente crítico) não é tratada, segundo o que o Cenário 3 descreve. Não é possível confirmar se a resposta literal delimitou o escopo, pois o texto da resposta não consta no material.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Comportamento esperado: </w:t>
      </w:r>
      <w:r>
        <w:rPr>
          <w:rFonts w:ascii="Arial" w:cs="Arial" w:eastAsia="Arial" w:hAnsi="Arial"/>
          <w:sz w:val="21"/>
          <w:szCs w:val="21"/>
        </w:rPr>
        <w:t xml:space="preserve">Responder "até 48 horas úteis para chamados gerais (SLA-2024, seção 2)" e sinalizar explicitamente que incidentes críticos têm prazo distinto na mesma tabela, informando esse valor a partir do SLA-2024 ou perguntando o tipo de chamado antes de responder.</w:t>
      </w:r>
    </w:p>
    <w:p>
      <w:pPr>
        <w:pStyle w:val="Heading2"/>
      </w:pPr>
      <w:r>
        <w:rPr>
          <w:rFonts w:ascii="Arial" w:cs="Arial" w:eastAsia="Arial" w:hAnsi="Arial"/>
        </w:rPr>
        <w:t xml:space="preserve">Resposta 3 — “Posso devolver carga perigosa classe 3?”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Avaliação: </w:t>
      </w:r>
      <w:r>
        <w:rPr>
          <w:rFonts w:ascii="Arial" w:cs="Arial" w:eastAsia="Arial" w:hAnsi="Arial"/>
          <w:sz w:val="21"/>
          <w:szCs w:val="21"/>
        </w:rPr>
        <w:t xml:space="preserve">Correta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Justificativa: </w:t>
      </w:r>
      <w:r>
        <w:rPr>
          <w:rFonts w:ascii="Arial" w:cs="Arial" w:eastAsia="Arial" w:hAnsi="Arial"/>
          <w:sz w:val="21"/>
          <w:szCs w:val="21"/>
        </w:rPr>
        <w:t xml:space="preserve">A POL-001, seção 3.2, informa que cargas perigosas das classes 1 a 6 da ANTT não são elegíveis para devolução pelo processo padrão; a classe 3 está explicitamente dentro desse intervalo. A política orienta tratamento individual pela Gestão de Riscos. A resposta está alinhada, e o caso mínimo de regressão reforça esse resultado esperado.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Fonte adequada e confiável?: </w:t>
      </w:r>
      <w:r>
        <w:rPr>
          <w:rFonts w:ascii="Arial" w:cs="Arial" w:eastAsia="Arial" w:hAnsi="Arial"/>
          <w:sz w:val="21"/>
          <w:szCs w:val="21"/>
        </w:rPr>
        <w:t xml:space="preserve">Adequada e confiável. POL-001, documento normativo, com seção específica sobre a exceção.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Alucinação, incompletude, conflito ou fonte não confiável?: </w:t>
      </w:r>
      <w:r>
        <w:rPr>
          <w:rFonts w:ascii="Arial" w:cs="Arial" w:eastAsia="Arial" w:hAnsi="Arial"/>
          <w:sz w:val="21"/>
          <w:szCs w:val="21"/>
        </w:rPr>
        <w:t xml:space="preserve">Nenhum problema identificado.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Comportamento esperado: </w:t>
      </w:r>
      <w:r>
        <w:rPr>
          <w:rFonts w:ascii="Arial" w:cs="Arial" w:eastAsia="Arial" w:hAnsi="Arial"/>
          <w:sz w:val="21"/>
          <w:szCs w:val="21"/>
        </w:rPr>
        <w:t xml:space="preserve">Manter: negar a elegibilidade pelo processo padrão, citar a POL-001 seção 3.2 e encaminhar para tratamento individual pela Gestão de Riscos, sem sugerir caminhos alternativos não documentados.</w:t>
      </w:r>
    </w:p>
    <w:p>
      <w:pPr>
        <w:pStyle w:val="Heading2"/>
      </w:pPr>
      <w:r>
        <w:rPr>
          <w:rFonts w:ascii="Arial" w:cs="Arial" w:eastAsia="Arial" w:hAnsi="Arial"/>
        </w:rPr>
        <w:t xml:space="preserve">Resposta 4 — “Qual a política para carga danificada durante transporte?”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Avaliação: </w:t>
      </w:r>
      <w:r>
        <w:rPr>
          <w:rFonts w:ascii="Arial" w:cs="Arial" w:eastAsia="Arial" w:hAnsi="Arial"/>
          <w:sz w:val="21"/>
          <w:szCs w:val="21"/>
        </w:rPr>
        <w:t xml:space="preserve">Incorreta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Justificativa: </w:t>
      </w:r>
      <w:r>
        <w:rPr>
          <w:rFonts w:ascii="Arial" w:cs="Arial" w:eastAsia="Arial" w:hAnsi="Arial"/>
          <w:sz w:val="21"/>
          <w:szCs w:val="21"/>
        </w:rPr>
        <w:t xml:space="preserve">A pergunta pede uma política. Conforme o Cenário 3, o Anexo A registra como gap que não existe POL nem PROC sobre carga danificada em trânsito; a única referência ao tema está no FAQ-Atendimento, item 38, que é informal e não foi validado por Compliance ou Operações. A resposta apresentou esse conteúdo como política formal e com confiança alta. A resposta, portanto, afirma a existência de uma norma que a base documental não contém.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Fonte adequada e confiável?: </w:t>
      </w:r>
      <w:r>
        <w:rPr>
          <w:rFonts w:ascii="Arial" w:cs="Arial" w:eastAsia="Arial" w:hAnsi="Arial"/>
          <w:sz w:val="21"/>
          <w:szCs w:val="21"/>
        </w:rPr>
        <w:t xml:space="preserve">Inadequada. O FAQ-Atendimento é fonte informal, não controlada e não validada; não pode sustentar uma resposta enquadrada como política oficial. Pelo Cenário 3, a resposta também não indicou fonte formal.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Alucinação, incompletude, conflito ou fonte não confiável?: </w:t>
      </w:r>
      <w:r>
        <w:rPr>
          <w:rFonts w:ascii="Arial" w:cs="Arial" w:eastAsia="Arial" w:hAnsi="Arial"/>
          <w:sz w:val="21"/>
          <w:szCs w:val="21"/>
        </w:rPr>
        <w:t xml:space="preserve">Gap documental combinado com uso de fonte não confiável e atribuição indevida de status normativo. Nota de classificação: o conteúdo tem origem rastreável (FAQ, item 38), então não se trata de conteúdo inventado do zero; o que foi fabricado é a autoridade da informação ("existe uma política"). Classifico como alucinação de enquadramento/autoridade. Essa distinção importa para consistência: pelo mesmo critério usado na Resposta 6 ("não é alucinação pura porque está no FAQ"), a Resposta 4 também não seria alucinação de conteúdo. Recomendo usar uma taxonomia única para as duas.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Comportamento esperado: </w:t>
      </w:r>
      <w:r>
        <w:rPr>
          <w:rFonts w:ascii="Arial" w:cs="Arial" w:eastAsia="Arial" w:hAnsi="Arial"/>
          <w:sz w:val="21"/>
          <w:szCs w:val="21"/>
        </w:rPr>
        <w:t xml:space="preserve">Declarar que não há política formal sobre carga danificada em transporte na base. Se mencionar o FAQ, rotulá-lo explicitamente como orientação informal e não validada, com confiança baixa. Encaminhar para a área responsável (Operações/Compliance) ou validação humana, e registrar o caso como gap documental.</w:t>
      </w:r>
    </w:p>
    <w:p>
      <w:pPr>
        <w:pStyle w:val="Heading2"/>
      </w:pPr>
      <w:r>
        <w:rPr>
          <w:rFonts w:ascii="Arial" w:cs="Arial" w:eastAsia="Arial" w:hAnsi="Arial"/>
        </w:rPr>
        <w:t xml:space="preserve">Resposta 5 — “Qual o SLA do cliente Enterprise?”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Avaliação: </w:t>
      </w:r>
      <w:r>
        <w:rPr>
          <w:rFonts w:ascii="Arial" w:cs="Arial" w:eastAsia="Arial" w:hAnsi="Arial"/>
          <w:sz w:val="21"/>
          <w:szCs w:val="21"/>
        </w:rPr>
        <w:t xml:space="preserve">Correta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Justificativa: </w:t>
      </w:r>
      <w:r>
        <w:rPr>
          <w:rFonts w:ascii="Arial" w:cs="Arial" w:eastAsia="Arial" w:hAnsi="Arial"/>
          <w:sz w:val="21"/>
          <w:szCs w:val="21"/>
        </w:rPr>
        <w:t xml:space="preserve">O SLA-2024, seção 1, estabelece apenas três tiers: Gold, Silver e Standard. Não existe tier Enterprise documentado. Segundo o Cenário 3, a resposta reconheceu a ausência e direcionou para confirmação ou escalação, sem inventar SLA. É exatamente o comportamento previsto pelo guardrail QUANDO EM DÚVIDA e pelo caso de regressão "tier inexistente".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Fonte adequada e confiável?: </w:t>
      </w:r>
      <w:r>
        <w:rPr>
          <w:rFonts w:ascii="Arial" w:cs="Arial" w:eastAsia="Arial" w:hAnsi="Arial"/>
          <w:sz w:val="21"/>
          <w:szCs w:val="21"/>
        </w:rPr>
        <w:t xml:space="preserve">Adequada e confiável. SLA-2024, documento formal, usado para comprovar a ausência do tier.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Alucinação, incompletude, conflito ou fonte não confiável?: </w:t>
      </w:r>
      <w:r>
        <w:rPr>
          <w:rFonts w:ascii="Arial" w:cs="Arial" w:eastAsia="Arial" w:hAnsi="Arial"/>
          <w:sz w:val="21"/>
          <w:szCs w:val="21"/>
        </w:rPr>
        <w:t xml:space="preserve">Nenhum problema identificado. Ressalva: a documentação não sustenta qualquer equivalência entre "Enterprise" e um tier existente (por exemplo, supor que Enterprise corresponde a Gold). Esse mapeamento seria invenção de regra de negócio e deve continuar bloqueado.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Comportamento esperado: </w:t>
      </w:r>
      <w:r>
        <w:rPr>
          <w:rFonts w:ascii="Arial" w:cs="Arial" w:eastAsia="Arial" w:hAnsi="Arial"/>
          <w:sz w:val="21"/>
          <w:szCs w:val="21"/>
        </w:rPr>
        <w:t xml:space="preserve">Manter: informar que o SLA-2024 prevê apenas Gold, Silver e Standard, não assumir equivalência, pedir confirmação do tier cadastrado do cliente ou escalar para a área responsável.</w:t>
      </w:r>
    </w:p>
    <w:p>
      <w:pPr>
        <w:pStyle w:val="Heading2"/>
      </w:pPr>
      <w:r>
        <w:rPr>
          <w:rFonts w:ascii="Arial" w:cs="Arial" w:eastAsia="Arial" w:hAnsi="Arial"/>
        </w:rPr>
        <w:t xml:space="preserve">Resposta 6 — “Posso enviar carga perigosa com frete expresso?”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Avaliação: </w:t>
      </w:r>
      <w:r>
        <w:rPr>
          <w:rFonts w:ascii="Arial" w:cs="Arial" w:eastAsia="Arial" w:hAnsi="Arial"/>
          <w:sz w:val="21"/>
          <w:szCs w:val="21"/>
        </w:rPr>
        <w:t xml:space="preserve">Incorreta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Justificativa: </w:t>
      </w:r>
      <w:r>
        <w:rPr>
          <w:rFonts w:ascii="Arial" w:cs="Arial" w:eastAsia="Arial" w:hAnsi="Arial"/>
          <w:sz w:val="21"/>
          <w:szCs w:val="21"/>
        </w:rPr>
        <w:t xml:space="preserve">A informação usada existe no FAQ-Atendimento, item 32, portanto é rastreável. Porém: (a) o FAQ é informal, não controlado e não validado; (b) não existe documento formal que estabeleça esse processo para carga perigosa com frete expresso; (c) o Cenário 3 referencia o item 32 junto à seção de contradições identificadas do Anexo A, o que indica que a informação não é apenas informal, mas também objeto de conflito registrado; (d) o tema é crítico, e o próprio harness do Cenário 3 exige validação humana para comportamento envolvendo carga perigosa. A resposta apresentou a informação como regra confirmada, o que, pelo caso de regressão correspondente, equivale a afirmar autorização sem respaldo normativo. A única parte "correta" é a fidelidade ao texto do FAQ; isso não torna correta a resposta dada ao atendente, que pode levar a uma operação irregular com carga perigosa. Por isso classifico como incorreta, e não como parcialmente correta.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Fonte adequada e confiável?: </w:t>
      </w:r>
      <w:r>
        <w:rPr>
          <w:rFonts w:ascii="Arial" w:cs="Arial" w:eastAsia="Arial" w:hAnsi="Arial"/>
          <w:sz w:val="21"/>
          <w:szCs w:val="21"/>
        </w:rPr>
        <w:t xml:space="preserve">Não adequada para o tema. Fonte informal e sinalizada em contradição, aplicada a assunto de alto risco.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Alucinação, incompletude, conflito ou fonte não confiável?: </w:t>
      </w:r>
      <w:r>
        <w:rPr>
          <w:rFonts w:ascii="Arial" w:cs="Arial" w:eastAsia="Arial" w:hAnsi="Arial"/>
          <w:sz w:val="21"/>
          <w:szCs w:val="21"/>
        </w:rPr>
        <w:t xml:space="preserve">Uso de fonte não confiável em tema crítico, ausência de respaldo normativo e indício de conflito documental não sinalizado. Limitação: o Cenário 3 não informa com qual documento o item 32 conflita. Os documentos da base que tratam de frete são PROC-042 e PROC-042-v2, mas não é possível afirmar relação entre eles e o item 32 sem acesso ao Anexo A.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Comportamento esperado: </w:t>
      </w:r>
      <w:r>
        <w:rPr>
          <w:rFonts w:ascii="Arial" w:cs="Arial" w:eastAsia="Arial" w:hAnsi="Arial"/>
          <w:sz w:val="21"/>
          <w:szCs w:val="21"/>
        </w:rPr>
        <w:t xml:space="preserve">Não afirmar autorização. Informar que não há documento formal que regule envio de carga perigosa com frete expresso; se citar o FAQ, rotulá-lo como informal e com contradição registrada; aplicar resposta conservadora e encaminhar para a Gestão de Riscos ou área responsável, conforme o checkpoint HITL para carga perigosa.</w:t>
      </w:r>
    </w:p>
    <w:p>
      <w:pPr>
        <w:sectPr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4. Tabela consolidada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4000"/>
        <w:gridCol w:w="2500"/>
        <w:gridCol w:w="1870"/>
        <w:gridCol w:w="3400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Resposta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Avaliação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Justificativa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erro, se houver</w:t>
            </w:r>
          </w:p>
        </w:tc>
        <w:tc>
          <w:tcPr>
            <w:tcW w:type="dxa" w:w="1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Fonte adequada?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Comportamento esperado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4ED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Correta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POL-001, seções 1, 3.1 e 3.3: até 7 dias úteis após recebimento, chamado no Portal com documentação e fotos.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Nenhum</w:t>
            </w:r>
          </w:p>
        </w:tc>
        <w:tc>
          <w:tcPr>
            <w:tcW w:type="dxa" w:w="1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 — POL-001 (normativa)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Manter; citar POL-001 com seção; opcionalmente ressalvar exceções de carga (seção 3.2).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Correta, com ressalva de completude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SLA-2024, seção 2: 48h úteis para chamados gerais Silver. Incidentes críticos têm prazo diferente e a pergunta é ambígua.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Possível informação incompleta (ambiguidade não tratada)</w:t>
            </w:r>
          </w:p>
        </w:tc>
        <w:tc>
          <w:tcPr>
            <w:tcW w:type="dxa" w:w="1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 — SLA-2024 (formal/contratual)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Delimitar "chamados gerais" e sinalizar que incidentes críticos têm prazo distinto, ou perguntar o tipo de chamado.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4ED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Correta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POL-001, seção 3.2: classes 1 a 6 da ANTT não elegíveis pelo processo padrão; classe 3 incluída; tratamento pela Gestão de Riscos.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Nenhum</w:t>
            </w:r>
          </w:p>
        </w:tc>
        <w:tc>
          <w:tcPr>
            <w:tcW w:type="dxa" w:w="1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 — POL-001 (normativa)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Manter; citar POL-001 seção 3.2 e encaminhar à Gestão de Riscos.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Incorreta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Anexo A registra ausência de POL/PROC sobre o tema. Único conteúdo: FAQ item 38, não validado. Apresentado como política com confiança alta.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Gap documental + fonte não confiável + alucinação de autoridade (informal apresentado como política)</w:t>
            </w:r>
          </w:p>
        </w:tc>
        <w:tc>
          <w:tcPr>
            <w:tcW w:type="dxa" w:w="1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 — FAQ informal usado como normativo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Declarar ausência de política formal; rotular FAQ como informal; baixa confiança; encaminhar a Operações/Compliance; registrar gap.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4ED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Correta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SLA-2024, seção 1: só existem Gold, Silver e Standard. A resposta reconheceu a ausência sem inventar SLA.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Nenhum</w:t>
            </w:r>
          </w:p>
        </w:tc>
        <w:tc>
          <w:tcPr>
            <w:tcW w:type="dxa" w:w="1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 — SLA-2024 (formal)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Manter; listar tiers existentes, não mapear Enterprise para outro tier, confirmar cadastro ou escalar.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8D7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Incorreta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Conteúdo existe no FAQ item 32, mas é informal, sem norma formal e listado em contradições do Anexo A. Apresentado como regra em tema crítico.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Fonte não confiável + ausência de respaldo normativo + conflito documental não sinalizado (tema crítico)</w:t>
            </w:r>
          </w:p>
        </w:tc>
        <w:tc>
          <w:tcPr>
            <w:tcW w:type="dxa" w:w="1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 — FAQ informal, com contradição registrada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Não afirmar autorização; declarar ausência de norma; rotular FAQ como informal/conflitante; encaminhar à Gestão de Riscos (HITL).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Conclusão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Respostas adequadas: </w:t>
      </w:r>
      <w:r>
        <w:rPr>
          <w:rFonts w:ascii="Arial" w:cs="Arial" w:eastAsia="Arial" w:hAnsi="Arial"/>
          <w:sz w:val="21"/>
          <w:szCs w:val="21"/>
        </w:rPr>
        <w:t xml:space="preserve">1, 3 e 5 estão corretas e bem fundamentadas em documentos formais (POL-001 e SLA-2024). A Resposta 5 é um bom exemplo do guardrail QUANDO EM DÚVIDA. A Resposta 2 está correta no valor, mas deve delimitar que as 48h úteis valem para chamados gerais, pois incidentes críticos têm prazo distinto.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Respostas com problema: </w:t>
      </w:r>
      <w:r>
        <w:rPr>
          <w:rFonts w:ascii="Arial" w:cs="Arial" w:eastAsia="Arial" w:hAnsi="Arial"/>
          <w:sz w:val="21"/>
          <w:szCs w:val="21"/>
        </w:rPr>
        <w:t xml:space="preserve">4 e 6 são incorretas. Na 4, um conteúdo informal (FAQ, item 38) foi apresentado como política formal inexistente, com confiança alta. Na 6, uma orientação informal e sinalizada em contradição (FAQ, item 32) foi apresentada como regra confirmada em tema de carga perigosa. Considero a 6 a de maior risco operacional.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Riscos de produto identificados: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Conversão de conhecimento informal em regra oficial, sem hierarquia de fontes no retrieval e na geração.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Confiança mal calibrada: respostas sem respaldo formal entregues com confiança alta, o que induz o atendente a agir.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Tema crítico (carga perigosa) respondido sem acionar o checkpoint humano previsto no harness.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Conflito documental não sinalizado ao usuário (Resposta 6), contrariando o guardrail QUANDO EM DÚVIDA.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Ambiguidade de pergunta não tratada (Resposta 2), com risco de aplicar SLA de chamado geral a incidente crítico.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Risco de governança da própria avaliação: classificar a Resposta 4 como alucinação e a 6 como não alucinação, sendo que ambas têm origem no FAQ, gera taxonomia inconsistente e distorce métricas de regressão. Recomenda-se uma taxonomia única (por exemplo: alucinação de conteúdo x alucinação de autoridade x fonte não confiável x conflito).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Base de evidências incompleta nesta rodada: sem o Anexo A e sem as respostas literais, as conclusões dependem de fonte secundária e devem ser confirmadas.</w:t>
      </w:r>
    </w:p>
    <w:sectPr>
      <w:footerReference w:type="default" r:id="rId8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77777"/>
        <w:sz w:val="16"/>
        <w:szCs w:val="16"/>
      </w:rPr>
      <w:t xml:space="preserve">Exercício 3.1 — Segundo avaliador (Claude) | pág.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77777"/>
        <w:sz w:val="16"/>
        <w:szCs w:val="16"/>
      </w:rPr>
      <w:t xml:space="preserve">Exercício 3.1 — Segundo avaliador (Claude) | pág.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59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2026-09-25T13:14:38.121Z</dcterms:created>
  <dcterms:modified xsi:type="dcterms:W3CDTF">2026-09-25T13:14:38.154Z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