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ACTA DE RETROSPECTIVA SCRUM</w:t>
      </w:r>
    </w:p>
    <w:p>
      <w:pPr>
        <w:spacing w:after="240"/>
        <w:jc w:val="center"/>
      </w:pPr>
      <w:r>
        <w:rPr>
          <w:i/>
          <w:iCs/>
          <w:color w:val="2E74B5"/>
          <w:sz w:val="22"/>
          <w:szCs w:val="22"/>
        </w:rPr>
        <w:t xml:space="preserve">Sistema Web Control de Plagas en Plátano — Sprint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000"/>
      </w:tblGrid>
      <w:tr>
        <w:tc>
          <w:tcPr>
            <w:tcW w:type="dxa" w:w="2500"/>
            <w:shd w:fill="DDEBF7" w:color="auto" w:val="clear"/>
            <w:tcMar>
              <w:top w:type="dxa" w:w="80"/>
              <w:left w:type="dxa" w:w="120"/>
              <w:bottom w:type="dxa" w:w="80"/>
              <w:right w:type="dxa" w:w="120"/>
            </w:tcMar>
            <w:vAlign w:val="center"/>
          </w:tcPr>
          <w:p>
            <w:r>
              <w:rPr>
                <w:b/>
                <w:bCs/>
                <w:sz w:val="20"/>
                <w:szCs w:val="20"/>
              </w:rPr>
              <w:t xml:space="preserve">Proyecto:</w:t>
            </w:r>
          </w:p>
        </w:tc>
        <w:tc>
          <w:tcPr>
            <w:tcW w:type="dxa" w:w="3000"/>
            <w:tcMar>
              <w:top w:type="dxa" w:w="80"/>
              <w:left w:type="dxa" w:w="120"/>
              <w:bottom w:type="dxa" w:w="80"/>
              <w:right w:type="dxa" w:w="120"/>
            </w:tcMar>
            <w:vAlign w:val="center"/>
          </w:tcPr>
          <w:p>
            <w:r>
              <w:rPr>
                <w:b w:val="false"/>
                <w:bCs w:val="false"/>
                <w:sz w:val="20"/>
                <w:szCs w:val="20"/>
              </w:rPr>
              <w:t xml:space="preserve">Sistema Web Control de Plagas en Plátano</w:t>
            </w:r>
          </w:p>
        </w:tc>
        <w:tc>
          <w:tcPr>
            <w:tcW w:type="dxa" w:w="2000"/>
            <w:shd w:fill="DDEBF7" w:color="auto" w:val="clear"/>
            <w:tcMar>
              <w:top w:type="dxa" w:w="80"/>
              <w:left w:type="dxa" w:w="120"/>
              <w:bottom w:type="dxa" w:w="80"/>
              <w:right w:type="dxa" w:w="120"/>
            </w:tcMar>
            <w:vAlign w:val="center"/>
          </w:tcPr>
          <w:p>
            <w:r>
              <w:rPr>
                <w:b/>
                <w:bCs/>
                <w:sz w:val="20"/>
                <w:szCs w:val="20"/>
              </w:rPr>
              <w:t xml:space="preserve">Sprint:</w:t>
            </w:r>
          </w:p>
        </w:tc>
        <w:tc>
          <w:tcPr>
            <w:tcW w:type="dxa" w:w="2000"/>
            <w:tcMar>
              <w:top w:type="dxa" w:w="80"/>
              <w:left w:type="dxa" w:w="120"/>
              <w:bottom w:type="dxa" w:w="80"/>
              <w:right w:type="dxa" w:w="120"/>
            </w:tcMar>
            <w:vAlign w:val="center"/>
          </w:tcPr>
          <w:p>
            <w:r>
              <w:rPr>
                <w:b w:val="false"/>
                <w:bCs w:val="false"/>
                <w:sz w:val="20"/>
                <w:szCs w:val="20"/>
              </w:rPr>
              <w:t xml:space="preserve">Sprint 1</w:t>
            </w:r>
          </w:p>
        </w:tc>
      </w:tr>
      <w:tr>
        <w:tc>
          <w:tcPr>
            <w:tcW w:type="dxa" w:w="2500"/>
            <w:shd w:fill="DDEBF7" w:color="auto" w:val="clear"/>
            <w:tcMar>
              <w:top w:type="dxa" w:w="80"/>
              <w:left w:type="dxa" w:w="120"/>
              <w:bottom w:type="dxa" w:w="80"/>
              <w:right w:type="dxa" w:w="120"/>
            </w:tcMar>
            <w:vAlign w:val="center"/>
          </w:tcPr>
          <w:p>
            <w:r>
              <w:rPr>
                <w:b/>
                <w:bCs/>
                <w:sz w:val="20"/>
                <w:szCs w:val="20"/>
              </w:rPr>
              <w:t xml:space="preserve">Fecha:</w:t>
            </w:r>
          </w:p>
        </w:tc>
        <w:tc>
          <w:tcPr>
            <w:tcW w:type="dxa" w:w="3000"/>
            <w:tcMar>
              <w:top w:type="dxa" w:w="80"/>
              <w:left w:type="dxa" w:w="120"/>
              <w:bottom w:type="dxa" w:w="80"/>
              <w:right w:type="dxa" w:w="120"/>
            </w:tcMar>
            <w:vAlign w:val="center"/>
          </w:tcPr>
          <w:p>
            <w:r>
              <w:rPr>
                <w:b w:val="false"/>
                <w:bCs w:val="false"/>
                <w:sz w:val="20"/>
                <w:szCs w:val="20"/>
              </w:rPr>
              <w:t xml:space="preserve">10 de septiembre de 2026</w:t>
            </w:r>
          </w:p>
        </w:tc>
        <w:tc>
          <w:tcPr>
            <w:tcW w:type="dxa" w:w="2000"/>
            <w:shd w:fill="DDEBF7" w:color="auto" w:val="clear"/>
            <w:tcMar>
              <w:top w:type="dxa" w:w="80"/>
              <w:left w:type="dxa" w:w="120"/>
              <w:bottom w:type="dxa" w:w="80"/>
              <w:right w:type="dxa" w:w="120"/>
            </w:tcMar>
            <w:vAlign w:val="center"/>
          </w:tcPr>
          <w:p>
            <w:r>
              <w:rPr>
                <w:b/>
                <w:bCs/>
                <w:sz w:val="20"/>
                <w:szCs w:val="20"/>
              </w:rPr>
              <w:t xml:space="preserve">Facilitador:</w:t>
            </w:r>
          </w:p>
        </w:tc>
        <w:tc>
          <w:tcPr>
            <w:tcW w:type="dxa" w:w="2000"/>
            <w:tcMar>
              <w:top w:type="dxa" w:w="80"/>
              <w:left w:type="dxa" w:w="120"/>
              <w:bottom w:type="dxa" w:w="80"/>
              <w:right w:type="dxa" w:w="120"/>
            </w:tcMar>
            <w:vAlign w:val="center"/>
          </w:tcPr>
          <w:p>
            <w:r>
              <w:rPr>
                <w:b w:val="false"/>
                <w:bCs w:val="false"/>
                <w:sz w:val="20"/>
                <w:szCs w:val="20"/>
              </w:rPr>
              <w:t xml:space="preserve">Juan Miguel Parra Garzón</w:t>
            </w:r>
          </w:p>
        </w:tc>
      </w:tr>
      <w:tr>
        <w:tc>
          <w:tcPr>
            <w:tcW w:type="dxa" w:w="2500"/>
            <w:shd w:fill="DDEBF7" w:color="auto" w:val="clear"/>
            <w:tcMar>
              <w:top w:type="dxa" w:w="80"/>
              <w:left w:type="dxa" w:w="120"/>
              <w:bottom w:type="dxa" w:w="80"/>
              <w:right w:type="dxa" w:w="120"/>
            </w:tcMar>
            <w:vAlign w:val="center"/>
          </w:tcPr>
          <w:p>
            <w:r>
              <w:rPr>
                <w:b/>
                <w:bCs/>
                <w:sz w:val="20"/>
                <w:szCs w:val="20"/>
              </w:rPr>
              <w:t xml:space="preserve">Duración:</w:t>
            </w:r>
          </w:p>
        </w:tc>
        <w:tc>
          <w:tcPr>
            <w:tcW w:type="dxa" w:w="3000"/>
            <w:tcMar>
              <w:top w:type="dxa" w:w="80"/>
              <w:left w:type="dxa" w:w="120"/>
              <w:bottom w:type="dxa" w:w="80"/>
              <w:right w:type="dxa" w:w="120"/>
            </w:tcMar>
            <w:vAlign w:val="center"/>
          </w:tcPr>
          <w:p>
            <w:r>
              <w:rPr>
                <w:b w:val="false"/>
                <w:bCs w:val="false"/>
                <w:sz w:val="20"/>
                <w:szCs w:val="20"/>
              </w:rPr>
              <w:t xml:space="preserve">~45 minutos</w:t>
            </w:r>
          </w:p>
        </w:tc>
        <w:tc>
          <w:tcPr>
            <w:tcW w:type="dxa" w:w="2000"/>
            <w:shd w:fill="DDEBF7" w:color="auto" w:val="clear"/>
            <w:tcMar>
              <w:top w:type="dxa" w:w="80"/>
              <w:left w:type="dxa" w:w="120"/>
              <w:bottom w:type="dxa" w:w="80"/>
              <w:right w:type="dxa" w:w="120"/>
            </w:tcMar>
            <w:vAlign w:val="center"/>
          </w:tcPr>
          <w:p>
            <w:r>
              <w:rPr>
                <w:b/>
                <w:bCs/>
                <w:sz w:val="20"/>
                <w:szCs w:val="20"/>
              </w:rPr>
              <w:t xml:space="preserve">Modalidad:</w:t>
            </w:r>
          </w:p>
        </w:tc>
        <w:tc>
          <w:tcPr>
            <w:tcW w:type="dxa" w:w="2000"/>
            <w:tcMar>
              <w:top w:type="dxa" w:w="80"/>
              <w:left w:type="dxa" w:w="120"/>
              <w:bottom w:type="dxa" w:w="80"/>
              <w:right w:type="dxa" w:w="120"/>
            </w:tcMar>
            <w:vAlign w:val="center"/>
          </w:tcPr>
          <w:p>
            <w:r>
              <w:rPr>
                <w:b w:val="false"/>
                <w:bCs w:val="false"/>
                <w:sz w:val="20"/>
                <w:szCs w:val="20"/>
              </w:rPr>
              <w:t xml:space="preserve">Presencial</w:t>
            </w:r>
          </w:p>
        </w:tc>
      </w:tr>
      <w:tr>
        <w:tc>
          <w:tcPr>
            <w:tcW w:type="dxa" w:w="2500"/>
            <w:shd w:fill="DDEBF7" w:color="auto" w:val="clear"/>
            <w:tcMar>
              <w:top w:type="dxa" w:w="80"/>
              <w:left w:type="dxa" w:w="120"/>
              <w:bottom w:type="dxa" w:w="80"/>
              <w:right w:type="dxa" w:w="120"/>
            </w:tcMar>
            <w:vAlign w:val="center"/>
          </w:tcPr>
          <w:p>
            <w:r>
              <w:rPr>
                <w:b/>
                <w:bCs/>
                <w:sz w:val="20"/>
                <w:szCs w:val="20"/>
              </w:rPr>
              <w:t xml:space="preserve">Asistentes:</w:t>
            </w:r>
          </w:p>
        </w:tc>
        <w:tc>
          <w:tcPr>
            <w:tcW w:type="dxa" w:w="7000"/>
            <w:gridSpan w:val="3"/>
            <w:tcMar>
              <w:top w:type="dxa" w:w="80"/>
              <w:left w:type="dxa" w:w="120"/>
              <w:bottom w:type="dxa" w:w="80"/>
              <w:right w:type="dxa" w:w="120"/>
            </w:tcMar>
          </w:tcPr>
          <w:p>
            <w:r>
              <w:rPr>
                <w:sz w:val="20"/>
                <w:szCs w:val="20"/>
              </w:rPr>
              <w:t xml:space="preserve">Nicolás Abril Cárdenas – Integrante</w:t>
            </w:r>
          </w:p>
          <w:p>
            <w:r>
              <w:rPr>
                <w:sz w:val="20"/>
                <w:szCs w:val="20"/>
              </w:rPr>
              <w:t xml:space="preserve">Juan Miguel Parra Garzón – Integrante / Líder</w:t>
            </w:r>
          </w:p>
          <w:p>
            <w:r>
              <w:rPr>
                <w:sz w:val="20"/>
                <w:szCs w:val="20"/>
              </w:rPr>
              <w:t xml:space="preserve">Santiago Cortez Mojica – Integrante</w:t>
            </w:r>
          </w:p>
        </w:tc>
      </w:tr>
    </w:tbl>
    <w:p>
      <w:pPr>
        <w:spacing w:after="200"/>
      </w:pPr>
    </w:p>
    <w:p>
      <w:pPr>
        <w:pStyle w:val="Heading1"/>
        <w:spacing w:after="150" w:before="300"/>
      </w:pPr>
      <w:r>
        <w:rPr>
          <w:b/>
          <w:bCs/>
          <w:color w:val="1F3864"/>
          <w:sz w:val="26"/>
          <w:szCs w:val="26"/>
        </w:rPr>
        <w:t xml:space="preserve">1. Contexto y atmósfera</w:t>
      </w:r>
    </w:p>
    <w:p>
      <w:pPr>
        <w:spacing w:after="120"/>
      </w:pPr>
      <w:r>
        <w:rPr>
          <w:sz w:val="21"/>
          <w:szCs w:val="21"/>
        </w:rPr>
        <w:t xml:space="preserve">El facilitador (Juan Miguel Parra) abrió la sesión recordando que el propósito de la retrospectiva es evaluar cómo trabajó el equipo durante el Sprint 1, no evaluar a las personas, y que todas las opiniones se recogen en un ambiente de confianza y seguridad psicológica.</w:t>
      </w:r>
    </w:p>
    <w:p>
      <w:pPr>
        <w:spacing w:after="120"/>
      </w:pPr>
      <w:r>
        <w:rPr>
          <w:sz w:val="21"/>
          <w:szCs w:val="21"/>
        </w:rPr>
        <w:t xml:space="preserve">Se revisaron brevemente los compromisos definidos en el Sprint 0 y en las reuniones diarias del Sprint 1 (08 y 10 de septiembre de 2026), confirmando que el objetivo del sprint —registro de usuarios, reporte de afectaciones con evidencia fotográfica y consulta de reportes propios— fue alcanzado.</w:t>
      </w:r>
    </w:p>
    <w:p>
      <w:pPr>
        <w:pStyle w:val="Heading1"/>
        <w:spacing w:after="150" w:before="300"/>
      </w:pPr>
      <w:r>
        <w:rPr>
          <w:b/>
          <w:bCs/>
          <w:color w:val="1F3864"/>
          <w:sz w:val="26"/>
          <w:szCs w:val="26"/>
        </w:rPr>
        <w:t xml:space="preserve">2. Datos y opiniones del equipo</w:t>
      </w:r>
    </w:p>
    <w:p>
      <w:pPr>
        <w:spacing w:after="100" w:before="200"/>
      </w:pPr>
      <w:r>
        <w:rPr>
          <w:b/>
          <w:bCs/>
          <w:color w:val="2E74B5"/>
          <w:sz w:val="22"/>
          <w:szCs w:val="22"/>
        </w:rPr>
        <w:t xml:space="preserve">¿Qué salió bien?</w:t>
      </w:r>
    </w:p>
    <w:p>
      <w:pPr>
        <w:pStyle w:val="ListParagraph"/>
        <w:numPr>
          <w:ilvl w:val="0"/>
          <w:numId w:val="2"/>
        </w:numPr>
        <w:spacing w:after="60"/>
      </w:pPr>
      <w:r>
        <w:rPr>
          <w:b w:val="false"/>
          <w:bCs w:val="false"/>
          <w:sz w:val="21"/>
          <w:szCs w:val="21"/>
        </w:rPr>
        <w:t xml:space="preserve">Se completaron y probaron las tres historias de usuario priorizadas (US1, US2 y US3): registro/login, formulario de reporte con carga de imágenes, y listado de "mis reportes".</w:t>
      </w:r>
    </w:p>
    <w:p>
      <w:pPr>
        <w:pStyle w:val="ListParagraph"/>
        <w:numPr>
          <w:ilvl w:val="0"/>
          <w:numId w:val="2"/>
        </w:numPr>
        <w:spacing w:after="60"/>
      </w:pPr>
      <w:r>
        <w:rPr>
          <w:b w:val="false"/>
          <w:bCs w:val="false"/>
          <w:sz w:val="21"/>
          <w:szCs w:val="21"/>
        </w:rPr>
        <w:t xml:space="preserve">El flujo completo (registro → reporte → visualización) quedó validado de extremo a extremo antes del cierre del sprint.</w:t>
      </w:r>
    </w:p>
    <w:p>
      <w:pPr>
        <w:pStyle w:val="ListParagraph"/>
        <w:numPr>
          <w:ilvl w:val="0"/>
          <w:numId w:val="2"/>
        </w:numPr>
        <w:spacing w:after="60"/>
      </w:pPr>
      <w:r>
        <w:rPr>
          <w:b w:val="false"/>
          <w:bCs w:val="false"/>
          <w:sz w:val="21"/>
          <w:szCs w:val="21"/>
        </w:rPr>
        <w:t xml:space="preserve">El equipo mantuvo la dinámica de trabajo acordada (1 hora entre semana y 3 horas los sábados por integrante), lo que dio previsibilidad al avance.</w:t>
      </w:r>
    </w:p>
    <w:p>
      <w:pPr>
        <w:pStyle w:val="ListParagraph"/>
        <w:numPr>
          <w:ilvl w:val="0"/>
          <w:numId w:val="2"/>
        </w:numPr>
        <w:spacing w:after="60"/>
      </w:pPr>
      <w:r>
        <w:rPr>
          <w:b w:val="false"/>
          <w:bCs w:val="false"/>
          <w:sz w:val="21"/>
          <w:szCs w:val="21"/>
        </w:rPr>
        <w:t xml:space="preserve">Buena entrega individual: cada integrante llegó a las dailies con avances concretos sobre backend, pruebas y consolidación de resultados.</w:t>
      </w:r>
    </w:p>
    <w:p>
      <w:pPr>
        <w:spacing w:after="100" w:before="200"/>
      </w:pPr>
      <w:r>
        <w:rPr>
          <w:b/>
          <w:bCs/>
          <w:color w:val="2E74B5"/>
          <w:sz w:val="22"/>
          <w:szCs w:val="22"/>
        </w:rPr>
        <w:t xml:space="preserve">¿Qué salió mal?</w:t>
      </w:r>
    </w:p>
    <w:p>
      <w:pPr>
        <w:pStyle w:val="ListParagraph"/>
        <w:numPr>
          <w:ilvl w:val="0"/>
          <w:numId w:val="2"/>
        </w:numPr>
        <w:spacing w:after="60"/>
      </w:pPr>
      <w:r>
        <w:rPr>
          <w:b w:val="false"/>
          <w:bCs w:val="false"/>
          <w:sz w:val="21"/>
          <w:szCs w:val="21"/>
        </w:rPr>
        <w:t xml:space="preserve">Santiago Cortez no asistió a la reunión diaria del 08 de septiembre, lo que redujo la visibilidad temprana de su avance en esa sesión.</w:t>
      </w:r>
    </w:p>
    <w:p>
      <w:pPr>
        <w:pStyle w:val="ListParagraph"/>
        <w:numPr>
          <w:ilvl w:val="0"/>
          <w:numId w:val="2"/>
        </w:numPr>
        <w:spacing w:after="60"/>
      </w:pPr>
      <w:r>
        <w:rPr>
          <w:b w:val="false"/>
          <w:bCs w:val="false"/>
          <w:sz w:val="21"/>
          <w:szCs w:val="21"/>
        </w:rPr>
        <w:t xml:space="preserve">Uno de los compromisos registrados en el acta del 08 de septiembre quedó con una fecha de cumplimiento inconsistente (27 de octubre), muy alejada de la duración real del sprint, lo que sugiere falta de cuidado al definir plazos.</w:t>
      </w:r>
    </w:p>
    <w:p>
      <w:pPr>
        <w:pStyle w:val="ListParagraph"/>
        <w:numPr>
          <w:ilvl w:val="0"/>
          <w:numId w:val="2"/>
        </w:numPr>
        <w:spacing w:after="60"/>
      </w:pPr>
      <w:r>
        <w:rPr>
          <w:b w:val="false"/>
          <w:bCs w:val="false"/>
          <w:sz w:val="21"/>
          <w:szCs w:val="21"/>
        </w:rPr>
        <w:t xml:space="preserve">La planeación de las historias del Sprint 2 se dejó para una reunión posterior en lugar de avanzarse en paralelo al cierre del Sprint 1, generando un punto de dependencia justo al final del sprint.</w:t>
      </w:r>
    </w:p>
    <w:p>
      <w:pPr>
        <w:spacing w:after="100" w:before="200"/>
      </w:pPr>
      <w:r>
        <w:rPr>
          <w:b/>
          <w:bCs/>
          <w:color w:val="2E74B5"/>
          <w:sz w:val="22"/>
          <w:szCs w:val="22"/>
        </w:rPr>
        <w:t xml:space="preserve">¿Qué deberíamos cambiar?</w:t>
      </w:r>
    </w:p>
    <w:p>
      <w:pPr>
        <w:pStyle w:val="ListParagraph"/>
        <w:numPr>
          <w:ilvl w:val="0"/>
          <w:numId w:val="2"/>
        </w:numPr>
        <w:spacing w:after="60"/>
      </w:pPr>
      <w:r>
        <w:rPr>
          <w:b w:val="false"/>
          <w:bCs w:val="false"/>
          <w:sz w:val="21"/>
          <w:szCs w:val="21"/>
        </w:rPr>
        <w:t xml:space="preserve">Confirmar asistencia (o avisar la inasistencia) a las dailies con anticipación, para no perder seguimiento de ningún integrante.</w:t>
      </w:r>
    </w:p>
    <w:p>
      <w:pPr>
        <w:pStyle w:val="ListParagraph"/>
        <w:numPr>
          <w:ilvl w:val="0"/>
          <w:numId w:val="2"/>
        </w:numPr>
        <w:spacing w:after="60"/>
      </w:pPr>
      <w:r>
        <w:rPr>
          <w:b w:val="false"/>
          <w:bCs w:val="false"/>
          <w:sz w:val="21"/>
          <w:szCs w:val="21"/>
        </w:rPr>
        <w:t xml:space="preserve">Revisar en equipo las fechas de compromiso antes de cerrarlas en el acta, verificando que sean coherentes con la duración del sprint.</w:t>
      </w:r>
    </w:p>
    <w:p>
      <w:pPr>
        <w:pStyle w:val="ListParagraph"/>
        <w:numPr>
          <w:ilvl w:val="0"/>
          <w:numId w:val="2"/>
        </w:numPr>
        <w:spacing w:after="60"/>
      </w:pPr>
      <w:r>
        <w:rPr>
          <w:b w:val="false"/>
          <w:bCs w:val="false"/>
          <w:sz w:val="21"/>
          <w:szCs w:val="21"/>
        </w:rPr>
        <w:t xml:space="preserve">Adelantar la identificación de historias de usuario del siguiente sprint desde antes del cierre del sprint actual, para no concentrar toda la planeación en un solo día.</w:t>
      </w:r>
    </w:p>
    <w:p>
      <w:pPr>
        <w:pStyle w:val="Heading1"/>
        <w:spacing w:after="150" w:before="300"/>
      </w:pPr>
      <w:r>
        <w:rPr>
          <w:b/>
          <w:bCs/>
          <w:color w:val="1F3864"/>
          <w:sz w:val="26"/>
          <w:szCs w:val="26"/>
        </w:rPr>
        <w:t xml:space="preserve">3. Patrones e insights identificados</w:t>
      </w:r>
    </w:p>
    <w:p>
      <w:pPr>
        <w:spacing w:after="120"/>
      </w:pPr>
      <w:r>
        <w:rPr>
          <w:sz w:val="21"/>
          <w:szCs w:val="21"/>
        </w:rPr>
        <w:t xml:space="preserve">La causa raíz detrás de la inasistencia y de la fecha de compromiso inconsistente no es de capacidad técnica del equipo —todas las historias se entregaron completas y probadas— sino de disciplina en el registro y seguimiento de la información de gestión (asistencia y fechas). El equipo trabaja bien a nivel de ejecución, pero el proceso de documentación de las reuniones diarias necesita mayor rigurosidad para que sirva como fuente confiable de seguimiento.</w:t>
      </w:r>
    </w:p>
    <w:p>
      <w:pPr>
        <w:pStyle w:val="Heading1"/>
        <w:spacing w:after="150" w:before="300"/>
      </w:pPr>
      <w:r>
        <w:rPr>
          <w:b/>
          <w:bCs/>
          <w:color w:val="1F3864"/>
          <w:sz w:val="26"/>
          <w:szCs w:val="26"/>
        </w:rPr>
        <w:t xml:space="preserve">4. Acciones de mejora para el Sprint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2500"/>
        <w:gridCol w:w="1800"/>
      </w:tblGrid>
      <w:tr>
        <w:trPr>
          <w:tblHeader/>
        </w:trPr>
        <w:tc>
          <w:tcPr>
            <w:tcW w:type="dxa" w:w="5200"/>
            <w:shd w:fill="1F3864" w:color="auto" w:val="clear"/>
            <w:tcMar>
              <w:top w:type="dxa" w:w="80"/>
              <w:left w:type="dxa" w:w="120"/>
              <w:bottom w:type="dxa" w:w="80"/>
              <w:right w:type="dxa" w:w="120"/>
            </w:tcMar>
          </w:tcPr>
          <w:p>
            <w:r>
              <w:rPr>
                <w:b/>
                <w:bCs/>
                <w:color w:val="FFFFFF"/>
                <w:sz w:val="20"/>
                <w:szCs w:val="20"/>
              </w:rPr>
              <w:t xml:space="preserve">Ítem de acción</w:t>
            </w:r>
          </w:p>
        </w:tc>
        <w:tc>
          <w:tcPr>
            <w:tcW w:type="dxa" w:w="2500"/>
            <w:shd w:fill="1F3864" w:color="auto" w:val="clear"/>
            <w:tcMar>
              <w:top w:type="dxa" w:w="80"/>
              <w:left w:type="dxa" w:w="120"/>
              <w:bottom w:type="dxa" w:w="80"/>
              <w:right w:type="dxa" w:w="120"/>
            </w:tcMar>
          </w:tcPr>
          <w:p>
            <w:r>
              <w:rPr>
                <w:b/>
                <w:bCs/>
                <w:color w:val="FFFFFF"/>
                <w:sz w:val="20"/>
                <w:szCs w:val="20"/>
              </w:rPr>
              <w:t xml:space="preserve">Responsable</w:t>
            </w:r>
          </w:p>
        </w:tc>
        <w:tc>
          <w:tcPr>
            <w:tcW w:type="dxa" w:w="1800"/>
            <w:shd w:fill="1F3864" w:color="auto" w:val="clear"/>
            <w:tcMar>
              <w:top w:type="dxa" w:w="80"/>
              <w:left w:type="dxa" w:w="120"/>
              <w:bottom w:type="dxa" w:w="80"/>
              <w:right w:type="dxa" w:w="120"/>
            </w:tcMar>
          </w:tcPr>
          <w:p>
            <w:r>
              <w:rPr>
                <w:b/>
                <w:bCs/>
                <w:color w:val="FFFFFF"/>
                <w:sz w:val="20"/>
                <w:szCs w:val="20"/>
              </w:rPr>
              <w:t xml:space="preserve">Plazo</w:t>
            </w:r>
          </w:p>
        </w:tc>
      </w:tr>
      <w:tr>
        <w:tc>
          <w:tcPr>
            <w:tcW w:type="dxa" w:w="5200"/>
            <w:tcMar>
              <w:top w:type="dxa" w:w="80"/>
              <w:left w:type="dxa" w:w="120"/>
              <w:bottom w:type="dxa" w:w="80"/>
              <w:right w:type="dxa" w:w="120"/>
            </w:tcMar>
          </w:tcPr>
          <w:p>
            <w:r>
              <w:rPr>
                <w:sz w:val="20"/>
                <w:szCs w:val="20"/>
              </w:rPr>
              <w:t xml:space="preserve">Confirmar la asistencia a las reuniones diarias con al menos un día de anticipación, o notificar la inasistencia al equipo.</w:t>
            </w:r>
          </w:p>
        </w:tc>
        <w:tc>
          <w:tcPr>
            <w:tcW w:type="dxa" w:w="2500"/>
            <w:tcMar>
              <w:top w:type="dxa" w:w="80"/>
              <w:left w:type="dxa" w:w="120"/>
              <w:bottom w:type="dxa" w:w="80"/>
              <w:right w:type="dxa" w:w="120"/>
            </w:tcMar>
          </w:tcPr>
          <w:p>
            <w:r>
              <w:rPr>
                <w:sz w:val="20"/>
                <w:szCs w:val="20"/>
              </w:rPr>
              <w:t xml:space="preserve">Todo el equipo</w:t>
            </w:r>
          </w:p>
        </w:tc>
        <w:tc>
          <w:tcPr>
            <w:tcW w:type="dxa" w:w="1800"/>
            <w:tcMar>
              <w:top w:type="dxa" w:w="80"/>
              <w:left w:type="dxa" w:w="120"/>
              <w:bottom w:type="dxa" w:w="80"/>
              <w:right w:type="dxa" w:w="120"/>
            </w:tcMar>
          </w:tcPr>
          <w:p>
            <w:r>
              <w:rPr>
                <w:sz w:val="20"/>
                <w:szCs w:val="20"/>
              </w:rPr>
              <w:t xml:space="preserve">Desde el inicio del Sprint 2</w:t>
            </w:r>
          </w:p>
        </w:tc>
      </w:tr>
      <w:tr>
        <w:tc>
          <w:tcPr>
            <w:tcW w:type="dxa" w:w="5200"/>
            <w:tcMar>
              <w:top w:type="dxa" w:w="80"/>
              <w:left w:type="dxa" w:w="120"/>
              <w:bottom w:type="dxa" w:w="80"/>
              <w:right w:type="dxa" w:w="120"/>
            </w:tcMar>
          </w:tcPr>
          <w:p>
            <w:r>
              <w:rPr>
                <w:sz w:val="20"/>
                <w:szCs w:val="20"/>
              </w:rPr>
              <w:t xml:space="preserve">Definir las fechas de compromiso de forma realista y verificable antes de registrarlas en el acta (evitar fechas muy lejanas o inconsistentes con la duración del sprint).</w:t>
            </w:r>
          </w:p>
        </w:tc>
        <w:tc>
          <w:tcPr>
            <w:tcW w:type="dxa" w:w="2500"/>
            <w:tcMar>
              <w:top w:type="dxa" w:w="80"/>
              <w:left w:type="dxa" w:w="120"/>
              <w:bottom w:type="dxa" w:w="80"/>
              <w:right w:type="dxa" w:w="120"/>
            </w:tcMar>
          </w:tcPr>
          <w:p>
            <w:r>
              <w:rPr>
                <w:sz w:val="20"/>
                <w:szCs w:val="20"/>
              </w:rPr>
              <w:t xml:space="preserve">Nicolás Abril Cárdenas</w:t>
            </w:r>
          </w:p>
        </w:tc>
        <w:tc>
          <w:tcPr>
            <w:tcW w:type="dxa" w:w="1800"/>
            <w:tcMar>
              <w:top w:type="dxa" w:w="80"/>
              <w:left w:type="dxa" w:w="120"/>
              <w:bottom w:type="dxa" w:w="80"/>
              <w:right w:type="dxa" w:w="120"/>
            </w:tcMar>
          </w:tcPr>
          <w:p>
            <w:r>
              <w:rPr>
                <w:sz w:val="20"/>
                <w:szCs w:val="20"/>
              </w:rPr>
              <w:t xml:space="preserve">11 de septiembre de 2026</w:t>
            </w:r>
          </w:p>
        </w:tc>
      </w:tr>
      <w:tr>
        <w:tc>
          <w:tcPr>
            <w:tcW w:type="dxa" w:w="5200"/>
            <w:tcMar>
              <w:top w:type="dxa" w:w="80"/>
              <w:left w:type="dxa" w:w="120"/>
              <w:bottom w:type="dxa" w:w="80"/>
              <w:right w:type="dxa" w:w="120"/>
            </w:tcMar>
          </w:tcPr>
          <w:p>
            <w:r>
              <w:rPr>
                <w:sz w:val="20"/>
                <w:szCs w:val="20"/>
              </w:rPr>
              <w:t xml:space="preserve">Dejar documentadas y priorizadas las historias de usuario del Sprint 2, junto con su desglose de tareas técnicas, antes de la reunión de planeación.</w:t>
            </w:r>
          </w:p>
        </w:tc>
        <w:tc>
          <w:tcPr>
            <w:tcW w:type="dxa" w:w="2500"/>
            <w:tcMar>
              <w:top w:type="dxa" w:w="80"/>
              <w:left w:type="dxa" w:w="120"/>
              <w:bottom w:type="dxa" w:w="80"/>
              <w:right w:type="dxa" w:w="120"/>
            </w:tcMar>
          </w:tcPr>
          <w:p>
            <w:r>
              <w:rPr>
                <w:sz w:val="20"/>
                <w:szCs w:val="20"/>
              </w:rPr>
              <w:t xml:space="preserve">Juan Miguel Parra Garzón / Santiago Cortez Mojica</w:t>
            </w:r>
          </w:p>
        </w:tc>
        <w:tc>
          <w:tcPr>
            <w:tcW w:type="dxa" w:w="1800"/>
            <w:tcMar>
              <w:top w:type="dxa" w:w="80"/>
              <w:left w:type="dxa" w:w="120"/>
              <w:bottom w:type="dxa" w:w="80"/>
              <w:right w:type="dxa" w:w="120"/>
            </w:tcMar>
          </w:tcPr>
          <w:p>
            <w:r>
              <w:rPr>
                <w:sz w:val="20"/>
                <w:szCs w:val="20"/>
              </w:rPr>
              <w:t xml:space="preserve">11 de septiembre de 2026</w:t>
            </w:r>
          </w:p>
        </w:tc>
      </w:tr>
    </w:tbl>
    <w:p>
      <w:pPr>
        <w:spacing w:after="200"/>
      </w:pPr>
    </w:p>
    <w:p>
      <w:pPr>
        <w:pStyle w:val="Heading1"/>
        <w:spacing w:after="150" w:before="300"/>
      </w:pPr>
      <w:r>
        <w:rPr>
          <w:b/>
          <w:bCs/>
          <w:color w:val="1F3864"/>
          <w:sz w:val="26"/>
          <w:szCs w:val="26"/>
        </w:rPr>
        <w:t xml:space="preserve">5. Cierre de la reunión</w:t>
      </w:r>
    </w:p>
    <w:p>
      <w:pPr>
        <w:spacing w:after="120"/>
      </w:pPr>
      <w:r>
        <w:rPr>
          <w:sz w:val="21"/>
          <w:szCs w:val="21"/>
        </w:rPr>
        <w:t xml:space="preserve">Se resumieron los tres ítems de acción definidos y se agradeció la participación de los tres integrantes. El equipo coincidió en que el Sprint 1 fue efectivo: se completó el 100% de las historias priorizadas y el flujo del sistema quedó validado.</w:t>
      </w:r>
    </w:p>
    <w:p>
      <w:pPr>
        <w:spacing w:after="120"/>
      </w:pPr>
      <w:r>
        <w:rPr>
          <w:sz w:val="21"/>
          <w:szCs w:val="21"/>
        </w:rPr>
        <w:t xml:space="preserve">Chequeo rápido de salud del equipo: el equipo se siente alineado y motivado para iniciar el Sprint 2, con la salvedad de reforzar la disciplina en el registro de las reuniones diarias.</w:t>
      </w:r>
    </w:p>
    <w:p>
      <w:pPr>
        <w:pStyle w:val="Heading1"/>
        <w:spacing w:after="150" w:before="300"/>
      </w:pPr>
      <w:r>
        <w:rPr>
          <w:b/>
          <w:bCs/>
          <w:color w:val="1F3864"/>
          <w:sz w:val="26"/>
          <w:szCs w:val="26"/>
        </w:rPr>
        <w:t xml:space="preserve">Criterio de éxito</w:t>
      </w:r>
    </w:p>
    <w:p>
      <w:pPr>
        <w:spacing w:after="120"/>
      </w:pPr>
      <w:r>
        <w:rPr>
          <w:sz w:val="21"/>
          <w:szCs w:val="21"/>
        </w:rPr>
        <w:t xml:space="preserve">Al finalizar la reunión, cada integrante puede explicar qué hará en el Sprint 2 (evaluación y seguimiento de reportes por parte del profesional agrónomo) y cómo se verificará el cumplimiento de los ítems de acción definidos arriba.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2026-09-15T18:44:15.076Z</dcterms:created>
  <dcterms:modified xsi:type="dcterms:W3CDTF">2026-09-15T18:44:15.085Z</dcterms:modified>
</cp:coreProperties>
</file>

<file path=docProps/custom.xml><?xml version="1.0" encoding="utf-8"?>
<Properties xmlns="http://schemas.openxmlformats.org/officeDocument/2006/custom-properties" xmlns:vt="http://schemas.openxmlformats.org/officeDocument/2006/docPropsVTypes"/>
</file>