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65D87">
      <w:pPr>
        <w:jc w:val="center"/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软著撰写标准要求信息表</w:t>
      </w:r>
    </w:p>
    <w:p w14:paraId="55DBE0F3">
      <w:pPr>
        <w:rPr>
          <w:rFonts w:ascii="宋体" w:hAnsi="宋体" w:eastAsia="宋体"/>
          <w:szCs w:val="21"/>
        </w:rPr>
      </w:pP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9"/>
        <w:gridCol w:w="3004"/>
        <w:gridCol w:w="10731"/>
      </w:tblGrid>
      <w:tr w14:paraId="0EC06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602" w:type="pct"/>
            <w:vMerge w:val="restart"/>
            <w:shd w:val="clear" w:color="auto" w:fill="F2F7FC"/>
            <w:vAlign w:val="center"/>
          </w:tcPr>
          <w:p w14:paraId="7DB9DE0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软件申请信息</w:t>
            </w:r>
          </w:p>
        </w:tc>
        <w:tc>
          <w:tcPr>
            <w:tcW w:w="962" w:type="pct"/>
            <w:shd w:val="clear" w:color="auto" w:fill="F2F7FC"/>
            <w:vAlign w:val="center"/>
          </w:tcPr>
          <w:p w14:paraId="5E87E19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权利取得方式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（勾选）</w:t>
            </w:r>
          </w:p>
        </w:tc>
        <w:tc>
          <w:tcPr>
            <w:tcW w:w="3436" w:type="pct"/>
            <w:noWrap/>
            <w:vAlign w:val="center"/>
          </w:tcPr>
          <w:p w14:paraId="1DE5AA3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原始取得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□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继受取得</w:t>
            </w:r>
          </w:p>
        </w:tc>
      </w:tr>
      <w:tr w14:paraId="3732C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0735C01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3415E34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软件全称</w:t>
            </w:r>
          </w:p>
        </w:tc>
        <w:tc>
          <w:tcPr>
            <w:tcW w:w="3436" w:type="pct"/>
            <w:noWrap/>
            <w:vAlign w:val="center"/>
          </w:tcPr>
          <w:p w14:paraId="46BC0C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数字海洋地理信息平台</w:t>
            </w:r>
          </w:p>
        </w:tc>
      </w:tr>
      <w:tr w14:paraId="4FBB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32FFF504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20675E3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版本号</w:t>
            </w:r>
          </w:p>
        </w:tc>
        <w:tc>
          <w:tcPr>
            <w:tcW w:w="3436" w:type="pct"/>
            <w:noWrap/>
            <w:vAlign w:val="center"/>
          </w:tcPr>
          <w:p w14:paraId="38953912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  <w:t>V1.0</w:t>
            </w:r>
          </w:p>
        </w:tc>
      </w:tr>
      <w:tr w14:paraId="3E77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5BEDAD3F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481C3F1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权利范围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（勾选）</w:t>
            </w:r>
          </w:p>
        </w:tc>
        <w:tc>
          <w:tcPr>
            <w:tcW w:w="3436" w:type="pct"/>
            <w:noWrap/>
            <w:vAlign w:val="center"/>
          </w:tcPr>
          <w:p w14:paraId="7EAC99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全部权利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；□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部分权利</w:t>
            </w:r>
            <w:bookmarkStart w:id="0" w:name="_GoBack"/>
            <w:bookmarkEnd w:id="0"/>
          </w:p>
        </w:tc>
      </w:tr>
      <w:tr w14:paraId="5E6A3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602" w:type="pct"/>
            <w:vMerge w:val="restart"/>
            <w:shd w:val="clear" w:color="auto" w:fill="F2F7FC"/>
            <w:noWrap/>
            <w:vAlign w:val="center"/>
          </w:tcPr>
          <w:p w14:paraId="18BF986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软件开发信息</w:t>
            </w: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094620F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软件分类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（勾选）</w:t>
            </w:r>
          </w:p>
        </w:tc>
        <w:tc>
          <w:tcPr>
            <w:tcW w:w="3436" w:type="pct"/>
            <w:noWrap/>
            <w:vAlign w:val="center"/>
          </w:tcPr>
          <w:p w14:paraId="626BD8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应用软件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□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嵌入式软件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□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中间件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□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操作系统</w:t>
            </w:r>
          </w:p>
        </w:tc>
      </w:tr>
      <w:tr w14:paraId="4CDCC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2CE0BD56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44CC566C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软件说明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（勾选）</w:t>
            </w:r>
          </w:p>
        </w:tc>
        <w:tc>
          <w:tcPr>
            <w:tcW w:w="3436" w:type="pct"/>
            <w:noWrap/>
            <w:vAlign w:val="center"/>
          </w:tcPr>
          <w:p w14:paraId="6E1C40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原创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□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修改（含翻译软件、合成软件）</w:t>
            </w:r>
          </w:p>
        </w:tc>
      </w:tr>
      <w:tr w14:paraId="3FB2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4BED27A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641644B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开发方式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（勾选）</w:t>
            </w:r>
          </w:p>
        </w:tc>
        <w:tc>
          <w:tcPr>
            <w:tcW w:w="3436" w:type="pct"/>
            <w:noWrap/>
            <w:vAlign w:val="center"/>
          </w:tcPr>
          <w:p w14:paraId="4557430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单独开发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□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合作开发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□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委托开发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□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下达任务开发</w:t>
            </w:r>
          </w:p>
        </w:tc>
      </w:tr>
      <w:tr w14:paraId="37EB6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31E8DB3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4D2E13E2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开发完成日期</w:t>
            </w:r>
          </w:p>
        </w:tc>
        <w:tc>
          <w:tcPr>
            <w:tcW w:w="3436" w:type="pct"/>
            <w:noWrap/>
            <w:vAlign w:val="center"/>
          </w:tcPr>
          <w:p w14:paraId="7BBDB591">
            <w:pPr>
              <w:widowControl/>
              <w:ind w:firstLine="1050" w:firstLineChars="50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  <w:t>2026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年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月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 日</w:t>
            </w:r>
          </w:p>
        </w:tc>
      </w:tr>
      <w:tr w14:paraId="4E120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5DEE301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15B73B8C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发表状态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（勾选）</w:t>
            </w:r>
          </w:p>
        </w:tc>
        <w:tc>
          <w:tcPr>
            <w:tcW w:w="3436" w:type="pct"/>
            <w:noWrap/>
            <w:vAlign w:val="center"/>
          </w:tcPr>
          <w:p w14:paraId="317419E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未发表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□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已发表</w:t>
            </w:r>
          </w:p>
        </w:tc>
      </w:tr>
      <w:tr w14:paraId="2F7A3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602" w:type="pct"/>
            <w:vMerge w:val="restart"/>
            <w:shd w:val="clear" w:color="auto" w:fill="F2F7FC"/>
            <w:vAlign w:val="center"/>
          </w:tcPr>
          <w:p w14:paraId="242B0C6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软件功能和特点</w:t>
            </w: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36DAD12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开发的硬件环境</w:t>
            </w:r>
          </w:p>
          <w:p w14:paraId="228894F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（50个字符以内）</w:t>
            </w:r>
          </w:p>
        </w:tc>
        <w:tc>
          <w:tcPr>
            <w:tcW w:w="3436" w:type="pct"/>
            <w:noWrap/>
            <w:vAlign w:val="center"/>
          </w:tcPr>
          <w:p w14:paraId="6CC728E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　CPU i7及以上；内存8GB及以上；硬盘512GB及以上；独显4GB及以上</w:t>
            </w:r>
          </w:p>
        </w:tc>
      </w:tr>
      <w:tr w14:paraId="3CF4B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7FF33E89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4CB3C17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运行的硬件环境</w:t>
            </w:r>
          </w:p>
          <w:p w14:paraId="31B30D0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（50个字符以内）</w:t>
            </w:r>
          </w:p>
        </w:tc>
        <w:tc>
          <w:tcPr>
            <w:tcW w:w="3436" w:type="pct"/>
            <w:noWrap/>
            <w:vAlign w:val="center"/>
          </w:tcPr>
          <w:p w14:paraId="3D067C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　CPU i7及以上；内存8GB及以上；硬盘512GB及以上；独显4GB及以上</w:t>
            </w:r>
          </w:p>
        </w:tc>
      </w:tr>
      <w:tr w14:paraId="00C5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137ECA9D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6FB6291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开发该软件的操作系统</w:t>
            </w:r>
          </w:p>
          <w:p w14:paraId="022F969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（50个字符以内）</w:t>
            </w:r>
          </w:p>
        </w:tc>
        <w:tc>
          <w:tcPr>
            <w:tcW w:w="3436" w:type="pct"/>
            <w:noWrap/>
            <w:vAlign w:val="center"/>
          </w:tcPr>
          <w:p w14:paraId="76B1097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　Windows 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64位操作系统</w:t>
            </w:r>
          </w:p>
        </w:tc>
      </w:tr>
      <w:tr w14:paraId="43D52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32CDF938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58E9220C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软件开发环境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开发工具</w:t>
            </w:r>
          </w:p>
          <w:p w14:paraId="22DEACAB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（50个字符以内）</w:t>
            </w:r>
          </w:p>
        </w:tc>
        <w:tc>
          <w:tcPr>
            <w:tcW w:w="3436" w:type="pct"/>
            <w:noWrap/>
            <w:vAlign w:val="center"/>
          </w:tcPr>
          <w:p w14:paraId="5392DA7F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　Qt Creator 4.11、Qt 5.14.2、MSVC 2017 编译环境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  <w:t>IDEA 2025.3</w:t>
            </w:r>
          </w:p>
        </w:tc>
      </w:tr>
      <w:tr w14:paraId="64316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6489B00E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68E282AB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该软件的运行平台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操作系统</w:t>
            </w:r>
          </w:p>
          <w:p w14:paraId="1133F72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（50个字符以内）</w:t>
            </w:r>
          </w:p>
        </w:tc>
        <w:tc>
          <w:tcPr>
            <w:tcW w:w="3436" w:type="pct"/>
            <w:noWrap/>
            <w:vAlign w:val="center"/>
          </w:tcPr>
          <w:p w14:paraId="119D8CD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　Windows 10/11 64位操作系统</w:t>
            </w:r>
          </w:p>
        </w:tc>
      </w:tr>
      <w:tr w14:paraId="13486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9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554D68FA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445D7A3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软件运行支撑环境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支持软件</w:t>
            </w:r>
          </w:p>
          <w:p w14:paraId="15C112D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（50个字符以内）</w:t>
            </w:r>
          </w:p>
        </w:tc>
        <w:tc>
          <w:tcPr>
            <w:tcW w:w="3436" w:type="pct"/>
            <w:noWrap/>
            <w:vAlign w:val="center"/>
          </w:tcPr>
          <w:p w14:paraId="2AFBA728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　Qt 5.14.2 运行库及 OpenGL 图形驱动支持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  <w:t>HotSpot虚拟机</w:t>
            </w:r>
          </w:p>
        </w:tc>
      </w:tr>
      <w:tr w14:paraId="2B323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6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5C414F1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5083D0E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编程语言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（勾选/补充）</w:t>
            </w:r>
          </w:p>
        </w:tc>
        <w:tc>
          <w:tcPr>
            <w:tcW w:w="3436" w:type="pct"/>
            <w:noWrap/>
            <w:vAlign w:val="center"/>
          </w:tcPr>
          <w:p w14:paraId="33BE1C19">
            <w:pPr>
              <w:widowControl/>
              <w:spacing w:line="360" w:lineRule="auto"/>
              <w:jc w:val="left"/>
              <w:rPr>
                <w:rFonts w:ascii="Segoe UI Symbol" w:hAnsi="Segoe UI Symbol" w:eastAsia="宋体" w:cs="Segoe UI Symbol"/>
                <w:color w:val="000000"/>
                <w:kern w:val="0"/>
                <w:szCs w:val="21"/>
              </w:rPr>
            </w:pPr>
            <w:r>
              <w:rPr>
                <w:rFonts w:hint="eastAsia" w:ascii="Segoe UI Symbol" w:hAnsi="Segoe UI Symbol" w:eastAsia="宋体" w:cs="Segoe UI Symbol"/>
                <w:color w:val="000000"/>
                <w:kern w:val="0"/>
                <w:szCs w:val="21"/>
              </w:rPr>
              <w:t>可多选：</w:t>
            </w:r>
          </w:p>
          <w:p w14:paraId="38A781B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 xml:space="preserve"> Assembly language；☐ C；☐ C#；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 xml:space="preserve"> C++；☐ Delphi/Object Pascal；☐ Go；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 xml:space="preserve"> HTML；</w:t>
            </w:r>
          </w:p>
          <w:p w14:paraId="084702E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>Java；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 xml:space="preserve"> JavaScript；☐ MATLAB；☐ Objective-C；☐ PHP；☐ PL/SQL；☐ Perl；☐ Python；</w:t>
            </w:r>
          </w:p>
          <w:p w14:paraId="384008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>☐ R；☐ Ruby；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 xml:space="preserve"> SQL；☐ Swift；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 xml:space="preserve"> Visual Basic；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 xml:space="preserve"> Visual Basic .Net</w:t>
            </w:r>
          </w:p>
          <w:p w14:paraId="6BF182C2"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Segoe UI Symbol" w:hAnsi="Segoe UI Symbol" w:eastAsia="宋体" w:cs="Segoe UI Symbol"/>
                <w:color w:val="000000"/>
                <w:kern w:val="0"/>
                <w:szCs w:val="21"/>
              </w:rPr>
              <w:t>☐</w:t>
            </w:r>
            <w:r>
              <w:rPr>
                <w:rFonts w:hint="eastAsia" w:ascii="宋体" w:hAnsi="宋体" w:eastAsia="宋体" w:cs="Segoe UI Symbol"/>
                <w:color w:val="000000"/>
                <w:kern w:val="0"/>
                <w:szCs w:val="21"/>
              </w:rPr>
              <w:t>其他：</w:t>
            </w:r>
            <w:r>
              <w:rPr>
                <w:rFonts w:hint="eastAsia" w:ascii="宋体" w:hAnsi="宋体" w:eastAsia="宋体" w:cs="Segoe UI Symbol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</w:p>
        </w:tc>
      </w:tr>
      <w:tr w14:paraId="183E0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401CAA58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26BFBA5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源程序量</w:t>
            </w:r>
          </w:p>
        </w:tc>
        <w:tc>
          <w:tcPr>
            <w:tcW w:w="3436" w:type="pct"/>
            <w:noWrap/>
            <w:vAlign w:val="center"/>
          </w:tcPr>
          <w:p w14:paraId="245CD40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u w:val="single"/>
                <w:lang w:val="en-US" w:eastAsia="zh-CN"/>
              </w:rPr>
              <w:t>7633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u w:val="single"/>
              </w:rPr>
              <w:t xml:space="preserve">   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  <w:u w:val="single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行</w:t>
            </w:r>
          </w:p>
        </w:tc>
      </w:tr>
      <w:tr w14:paraId="1ACE3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1E4DEF67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48E60F22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开发目的</w:t>
            </w:r>
          </w:p>
          <w:p w14:paraId="2EE5F6B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（50个字符以内）</w:t>
            </w:r>
          </w:p>
        </w:tc>
        <w:tc>
          <w:tcPr>
            <w:tcW w:w="3436" w:type="pct"/>
            <w:noWrap/>
            <w:vAlign w:val="center"/>
          </w:tcPr>
          <w:p w14:paraId="68B3535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</w:p>
          <w:p w14:paraId="59602BF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  <w:p w14:paraId="76727711">
            <w:pPr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t>汇聚治理海洋地理信息，支撑观测监测与辅助决策</w:t>
            </w:r>
          </w:p>
          <w:p w14:paraId="2C66852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  <w:p w14:paraId="4736C2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 w14:paraId="1DF51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74CC634D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451E5F0B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面向领域 / 行业</w:t>
            </w:r>
          </w:p>
          <w:p w14:paraId="600A72B6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（50个字符以内）</w:t>
            </w:r>
          </w:p>
        </w:tc>
        <w:tc>
          <w:tcPr>
            <w:tcW w:w="3436" w:type="pct"/>
            <w:noWrap/>
            <w:vAlign w:val="center"/>
          </w:tcPr>
          <w:p w14:paraId="29258F6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</w:p>
          <w:p w14:paraId="51B934A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  <w:p w14:paraId="07036019">
            <w:pPr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t>海洋科研、生态环境监测、防灾减灾、海洋工程制图</w:t>
            </w:r>
          </w:p>
          <w:p w14:paraId="0BDFA6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 w14:paraId="5456D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5F68462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288E7A2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软件的主要功能</w:t>
            </w:r>
          </w:p>
          <w:p w14:paraId="3E5721A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（500~1300字符）</w:t>
            </w:r>
          </w:p>
        </w:tc>
        <w:tc>
          <w:tcPr>
            <w:tcW w:w="3436" w:type="pct"/>
            <w:noWrap/>
            <w:vAlign w:val="center"/>
          </w:tcPr>
          <w:p w14:paraId="4B5456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数字海洋地理信息平台面向海洋观测、调查试验与业务监测等场景，围绕海洋地理信息“采—治—用—存”一体化流程建设，主要由数据引接、数据处理与分析、数据格式转换与数据存储等功能模块组成。
</w:t>
            </w:r>
          </w:p>
          <w:p w14:paraId="773B19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
</w:t>
            </w:r>
          </w:p>
          <w:p w14:paraId="6050F182">
            <w:pPr>
              <w:widowControl/>
              <w:numPr>
                <w:ilvl w:val="0"/>
                <w:numId w:val="1"/>
              </w:numPr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数据引接模块：支持引接海洋地理空间数据与海洋环境观测数据，覆盖温度、盐度、水深、流速流向、波浪、能见度、气压、湿度与降水等多种水文气象要素，并保留与空间位置、时间及观测平台的关联信息；支持浮标/潜标、水下滑翔机、岸基与船载观测、卫星遥感及标准化文件成果等多源接入；提供数据自动识别、类型判定与分级分类，配套元数据维护与必填项校核；用户可在对话框中指定待载入文件，系统解析后载入工作区，支持样本信息录入、新增、删除与校对。
</w:t>
            </w:r>
          </w:p>
          <w:p w14:paraId="569837E3">
            <w:pPr>
              <w:widowControl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  <w:p w14:paraId="55004E62">
            <w:pPr>
              <w:widowControl/>
              <w:numPr>
                <w:ilvl w:val="0"/>
                <w:numId w:val="1"/>
              </w:numPr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数据处理与分析模块：对引接数据进行加工处理与质量管控，支持统计汇总、趋势对比与专题分析；支持异常剔除、清洗去噪、缺测插补与平滑等在线/离线处理，结合质控规则提升数据一致性；处理完成后可自动生成曲线图、分布图等可视化图谱与专题展示，服务于海洋要素时空演变研判。
</w:t>
            </w:r>
          </w:p>
          <w:p w14:paraId="4CE83AE8">
            <w:pPr>
              <w:widowControl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  <w:p w14:paraId="0E69F087">
            <w:pPr>
              <w:widowControl/>
              <w:numPr>
                <w:ilvl w:val="0"/>
                <w:numId w:val="1"/>
              </w:numPr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数据格式转换模块：提供海洋地理信息成果格式转换能力，可将平台内多源数据导出为 NetCDF（NC）等通用或行业常用标准格式，便于离线分析、模型调用、二次开发与归档管理。
</w:t>
            </w:r>
          </w:p>
          <w:p w14:paraId="2E85F1A0">
            <w:pPr>
              <w:widowControl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
</w:t>
            </w:r>
          </w:p>
          <w:p w14:paraId="78B0E213">
            <w:pPr>
              <w:widowControl/>
              <w:numPr>
                <w:ilvl w:val="0"/>
                <w:numId w:val="1"/>
              </w:numPr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数据存储模块：支持大规模海洋地理信息数据与观测资料持久化存储，可按任务、航次、站点等维度长期留存；数据引接或采集完成后按策略自动落盘，同步更新目录索引与元数据，用户可在存储管理界面查看路径、容量与版本信息。
平台广泛服务于海洋科研、生态环境监测、防灾减灾、海洋工程与综合制图等领域，为数据生产、业务分析与决策应用提供统一、可追溯的海洋地理信息支撑。</w:t>
            </w:r>
          </w:p>
          <w:p w14:paraId="2FB1D57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 w14:paraId="51497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2381CB4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6F2F4ED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软件的技术特点</w:t>
            </w:r>
          </w:p>
          <w:p w14:paraId="455F149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勾选/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100个字符以内）</w:t>
            </w:r>
          </w:p>
        </w:tc>
        <w:tc>
          <w:tcPr>
            <w:tcW w:w="3436" w:type="pct"/>
            <w:noWrap/>
            <w:vAlign w:val="center"/>
          </w:tcPr>
          <w:p w14:paraId="5CA635DA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1.请勾选（可多选）：</w:t>
            </w:r>
          </w:p>
          <w:p w14:paraId="1F0F9E19"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>□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APP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；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□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游戏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软件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；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□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教育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软件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>□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金融软件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；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□ 医疗软件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；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地理信息软件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；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□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云计算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软件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；</w:t>
            </w:r>
          </w:p>
          <w:p w14:paraId="57F47ADD"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□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信息安全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软件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；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□ 大数据软件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；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□ 人工智能软件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；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□ VR软件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；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□ 5G软件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；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□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小程序；</w:t>
            </w:r>
          </w:p>
          <w:p w14:paraId="01E23837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□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物联网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软件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；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□ 智慧城市软件</w:t>
            </w:r>
          </w:p>
          <w:p w14:paraId="5062429D"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  <w:p w14:paraId="43A4B3A0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EE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Cs w:val="21"/>
              </w:rPr>
              <w:t>2.请文字描述（100字符以内）：</w:t>
            </w:r>
          </w:p>
          <w:p w14:paraId="2F3F7435"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  <w:p w14:paraId="4F8B80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  <w:p w14:paraId="21DD9B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  <w:p w14:paraId="30A1E6F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</w:p>
          <w:p w14:paraId="0E8ABD13">
            <w:pPr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t>基于Qt构建海洋地理信息桌面平台，支持多源异构数据接入、质控处理、格式转换与可视化存储。</w:t>
            </w:r>
          </w:p>
          <w:p w14:paraId="6BA5C37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 w14:paraId="0D7E9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2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16DF0041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234425BB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程序鉴别材料</w:t>
            </w:r>
          </w:p>
          <w:p w14:paraId="041980E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（源程序前连续的30页和后连续的30页）</w:t>
            </w:r>
          </w:p>
        </w:tc>
        <w:tc>
          <w:tcPr>
            <w:tcW w:w="3436" w:type="pct"/>
            <w:noWrap/>
            <w:vAlign w:val="center"/>
          </w:tcPr>
          <w:p w14:paraId="6172D5B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另提交附件（word格式）</w:t>
            </w:r>
          </w:p>
        </w:tc>
      </w:tr>
      <w:tr w14:paraId="453F2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2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4CE183D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21F01022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文档鉴别材料</w:t>
            </w:r>
          </w:p>
          <w:p w14:paraId="028B6656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（提交任何一种文档的前连续的30页和后连续的30页）</w:t>
            </w:r>
          </w:p>
        </w:tc>
        <w:tc>
          <w:tcPr>
            <w:tcW w:w="3436" w:type="pct"/>
            <w:noWrap/>
            <w:vAlign w:val="center"/>
          </w:tcPr>
          <w:p w14:paraId="38E1B08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另提交附件（word格式）</w:t>
            </w:r>
          </w:p>
        </w:tc>
      </w:tr>
      <w:tr w14:paraId="0BEA0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</w:trPr>
        <w:tc>
          <w:tcPr>
            <w:tcW w:w="602" w:type="pct"/>
            <w:vMerge w:val="continue"/>
            <w:shd w:val="clear" w:color="auto" w:fill="F2F7FC"/>
            <w:vAlign w:val="center"/>
          </w:tcPr>
          <w:p w14:paraId="22582B1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962" w:type="pct"/>
            <w:shd w:val="clear" w:color="auto" w:fill="F2F7FC"/>
            <w:noWrap/>
            <w:vAlign w:val="center"/>
          </w:tcPr>
          <w:p w14:paraId="2B792B8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>其他相关证明材料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（若有）</w:t>
            </w:r>
          </w:p>
        </w:tc>
        <w:tc>
          <w:tcPr>
            <w:tcW w:w="3436" w:type="pct"/>
            <w:noWrap/>
            <w:vAlign w:val="center"/>
          </w:tcPr>
          <w:p w14:paraId="6287B9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另提交附件（word或者pdf格式）</w:t>
            </w:r>
          </w:p>
        </w:tc>
      </w:tr>
    </w:tbl>
    <w:p w14:paraId="4B27F0A6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撰写说明：</w:t>
      </w:r>
    </w:p>
    <w:p w14:paraId="60225088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1.以上信息材料均为必填，请按照字符要求或者勾选项（未写明多选的均为单选）填报；</w:t>
      </w:r>
    </w:p>
    <w:p w14:paraId="4F900529">
      <w:pPr>
        <w:spacing w:line="360" w:lineRule="auto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2.附件材料中程序鉴别材料和文档鉴别材料为必须，其他材料视情况提供。</w:t>
      </w: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AF9424"/>
    <w:multiLevelType w:val="singleLevel"/>
    <w:tmpl w:val="14AF942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5D8"/>
    <w:rsid w:val="0000400D"/>
    <w:rsid w:val="00232280"/>
    <w:rsid w:val="002A0326"/>
    <w:rsid w:val="004B6351"/>
    <w:rsid w:val="006261FA"/>
    <w:rsid w:val="0072486F"/>
    <w:rsid w:val="008D3909"/>
    <w:rsid w:val="00B87AF3"/>
    <w:rsid w:val="00EE55D8"/>
    <w:rsid w:val="020061B9"/>
    <w:rsid w:val="174B4E22"/>
    <w:rsid w:val="18934FA2"/>
    <w:rsid w:val="2E3B6E2D"/>
    <w:rsid w:val="317A4FF1"/>
    <w:rsid w:val="333304B5"/>
    <w:rsid w:val="3DC52B1B"/>
    <w:rsid w:val="46985A4A"/>
    <w:rsid w:val="48DC4AE3"/>
    <w:rsid w:val="62905878"/>
    <w:rsid w:val="6762420D"/>
    <w:rsid w:val="6D10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1625</Words>
  <Characters>1887</Characters>
  <Lines>8</Lines>
  <Paragraphs>2</Paragraphs>
  <TotalTime>137</TotalTime>
  <ScaleCrop>false</ScaleCrop>
  <LinksUpToDate>false</LinksUpToDate>
  <CharactersWithSpaces>2053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2026-05-11T09:45:00Z</dcterms:created>
  <dc:creator>xy dai</dc:creator>
  <cp:lastModifiedBy>张衡</cp:lastModifiedBy>
  <dcterms:modified xsi:type="dcterms:W3CDTF">2026-05-21T10:08:32Z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eyJoZGlkIjoiNWE2YmE1OGU0MTFjOWViMzVmM2MzMzlmYTUzZTZiMGMiLCJ1c2VySWQiOiI2MTQ5MTM2NDgifQ==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216B00227C364F5AACDCB74F0858AE33_12</vt:lpwstr>
  </property>
</Properties>
</file>