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CC0000" w:val="clear"/>
        <w:spacing w:after="0" w:before="0"/>
        <w:ind w:right="240"/>
        <w:jc w:val="right"/>
      </w:pPr>
      <w:r>
        <w:rPr>
          <w:rFonts w:ascii="Arial" w:cs="Arial" w:eastAsia="Arial" w:hAnsi="Arial"/>
          <w:b/>
          <w:bCs/>
          <w:color w:val="FFFFFF"/>
          <w:sz w:val="22"/>
          <w:szCs w:val="22"/>
        </w:rPr>
        <w:t xml:space="preserve">COLOMBIA</w:t>
      </w:r>
    </w:p>
    <w:p>
      <w:pPr>
        <w:spacing w:after="0" w:before="1440"/>
      </w:pPr>
    </w:p>
    <w:p>
      <w:pPr>
        <w:spacing w:after="0" w:before="0"/>
      </w:pPr>
    </w:p>
    <w:p>
      <w:pPr>
        <w:spacing w:after="0" w:before="0"/>
      </w:pPr>
    </w:p>
    <w:p>
      <w:pPr>
        <w:spacing w:after="0" w:before="0"/>
      </w:pPr>
    </w:p>
    <w:p>
      <w:pPr>
        <w:spacing w:after="0" w:before="0"/>
      </w:pPr>
    </w:p>
    <w:p>
      <w:pPr>
        <w:spacing w:after="120" w:before="720"/>
      </w:pPr>
      <w:r>
        <w:rPr>
          <w:rFonts w:ascii="Arial" w:cs="Arial" w:eastAsia="Arial" w:hAnsi="Arial"/>
          <w:b/>
          <w:bCs/>
          <w:color w:val="000000"/>
          <w:sz w:val="72"/>
          <w:szCs w:val="72"/>
        </w:rPr>
        <w:t xml:space="preserve">gomemory</w:t>
      </w:r>
    </w:p>
    <w:p>
      <w:pPr>
        <w:spacing w:after="480" w:before="0"/>
      </w:pPr>
      <w:r>
        <w:rPr>
          <w:rFonts w:ascii="Arial" w:cs="Arial" w:eastAsia="Arial" w:hAnsi="Arial"/>
          <w:b w:val="false"/>
          <w:bCs w:val="false"/>
          <w:color w:val="CC0000"/>
          <w:sz w:val="36"/>
          <w:szCs w:val="36"/>
        </w:rPr>
        <w:t xml:space="preserve">Documentación Técnica — v1.6.2</w:t>
      </w:r>
    </w:p>
    <w:p>
      <w:pPr>
        <w:pBdr>
          <w:bottom w:val="single" w:color="CC0000" w:sz="8"/>
        </w:pBdr>
        <w:spacing w:after="480" w:before="0"/>
      </w:pPr>
    </w:p>
    <w:p>
      <w:pPr>
        <w:spacing w:after="40" w:before="40"/>
      </w:pPr>
      <w:r>
        <w:rPr>
          <w:rFonts w:ascii="Arial" w:cs="Arial" w:eastAsia="Arial" w:hAnsi="Arial"/>
          <w:b/>
          <w:bCs/>
          <w:sz w:val="22"/>
          <w:szCs w:val="22"/>
        </w:rPr>
        <w:t xml:space="preserve">Proyecto: </w:t>
      </w:r>
      <w:r>
        <w:rPr>
          <w:rFonts w:ascii="Arial" w:cs="Arial" w:eastAsia="Arial" w:hAnsi="Arial"/>
          <w:sz w:val="22"/>
          <w:szCs w:val="22"/>
        </w:rPr>
        <w:t xml:space="preserve">gomemory</w:t>
      </w:r>
    </w:p>
    <w:p>
      <w:pPr>
        <w:spacing w:after="40" w:before="40"/>
      </w:pPr>
      <w:r>
        <w:rPr>
          <w:rFonts w:ascii="Arial" w:cs="Arial" w:eastAsia="Arial" w:hAnsi="Arial"/>
          <w:b/>
          <w:bCs/>
          <w:sz w:val="22"/>
          <w:szCs w:val="22"/>
        </w:rPr>
        <w:t xml:space="preserve">Versión: </w:t>
      </w:r>
      <w:r>
        <w:rPr>
          <w:rFonts w:ascii="Arial" w:cs="Arial" w:eastAsia="Arial" w:hAnsi="Arial"/>
          <w:sz w:val="22"/>
          <w:szCs w:val="22"/>
        </w:rPr>
        <w:t xml:space="preserve">v1.6.2</w:t>
      </w:r>
    </w:p>
    <w:p>
      <w:pPr>
        <w:spacing w:after="40" w:before="40"/>
      </w:pPr>
      <w:r>
        <w:rPr>
          <w:rFonts w:ascii="Arial" w:cs="Arial" w:eastAsia="Arial" w:hAnsi="Arial"/>
          <w:b/>
          <w:bCs/>
          <w:sz w:val="22"/>
          <w:szCs w:val="22"/>
        </w:rPr>
        <w:t xml:space="preserve">Autor: </w:t>
      </w:r>
      <w:r>
        <w:rPr>
          <w:rFonts w:ascii="Arial" w:cs="Arial" w:eastAsia="Arial" w:hAnsi="Arial"/>
          <w:sz w:val="22"/>
          <w:szCs w:val="22"/>
        </w:rPr>
        <w:t xml:space="preserve">Jose Gomez (@Sayoner-000)</w:t>
      </w:r>
    </w:p>
    <w:p>
      <w:pPr>
        <w:spacing w:after="40" w:before="40"/>
      </w:pPr>
      <w:r>
        <w:rPr>
          <w:rFonts w:ascii="Arial" w:cs="Arial" w:eastAsia="Arial" w:hAnsi="Arial"/>
          <w:b/>
          <w:bCs/>
          <w:sz w:val="22"/>
          <w:szCs w:val="22"/>
        </w:rPr>
        <w:t xml:space="preserve">Repositorio: </w:t>
      </w:r>
      <w:r>
        <w:rPr>
          <w:rFonts w:ascii="Arial" w:cs="Arial" w:eastAsia="Arial" w:hAnsi="Arial"/>
          <w:sz w:val="22"/>
          <w:szCs w:val="22"/>
        </w:rPr>
        <w:t xml:space="preserve">https://github.com/Sayoner-000/gomemory</w:t>
      </w:r>
    </w:p>
    <w:p>
      <w:pPr>
        <w:spacing w:after="40" w:before="40"/>
      </w:pPr>
      <w:r>
        <w:rPr>
          <w:rFonts w:ascii="Arial" w:cs="Arial" w:eastAsia="Arial" w:hAnsi="Arial"/>
          <w:b/>
          <w:bCs/>
          <w:sz w:val="22"/>
          <w:szCs w:val="22"/>
        </w:rPr>
        <w:t xml:space="preserve">Fecha: </w:t>
      </w:r>
      <w:r>
        <w:rPr>
          <w:rFonts w:ascii="Arial" w:cs="Arial" w:eastAsia="Arial" w:hAnsi="Arial"/>
          <w:sz w:val="22"/>
          <w:szCs w:val="22"/>
        </w:rPr>
        <w:t xml:space="preserve">Junio 2026</w:t>
      </w:r>
    </w:p>
    <w:p>
      <w:pPr>
        <w:spacing w:after="40" w:before="40"/>
      </w:pPr>
      <w:r>
        <w:rPr>
          <w:rFonts w:ascii="Arial" w:cs="Arial" w:eastAsia="Arial" w:hAnsi="Arial"/>
          <w:b/>
          <w:bCs/>
          <w:sz w:val="22"/>
          <w:szCs w:val="22"/>
        </w:rPr>
        <w:t xml:space="preserve">Licencia: </w:t>
      </w:r>
      <w:r>
        <w:rPr>
          <w:rFonts w:ascii="Arial" w:cs="Arial" w:eastAsia="Arial" w:hAnsi="Arial"/>
          <w:sz w:val="22"/>
          <w:szCs w:val="22"/>
        </w:rPr>
        <w:t xml:space="preserve">MIT</w:t>
      </w:r>
    </w:p>
    <w:p>
      <w:r>
        <w:br w:type="page"/>
      </w:r>
    </w:p>
    <w:p>
      <w:pPr>
        <w:shd w:fill="CC0000" w:val="clear"/>
        <w:spacing w:after="120" w:before="240"/>
        <w:ind w:left="120" w:right="120"/>
      </w:pPr>
      <w:r>
        <w:rPr>
          <w:rFonts w:ascii="Arial" w:cs="Arial" w:eastAsia="Arial" w:hAnsi="Arial"/>
          <w:b/>
          <w:bCs/>
          <w:color w:val="FFFFFF"/>
          <w:sz w:val="28"/>
          <w:szCs w:val="28"/>
        </w:rPr>
        <w:t xml:space="preserve">1. RESUMEN EJECUTIVO</w:t>
      </w:r>
    </w:p>
    <w:p>
      <w:pPr>
        <w:spacing w:after="0" w:before="120"/>
      </w:pPr>
    </w:p>
    <w:p>
      <w:pPr>
        <w:spacing w:after="60" w:before="60"/>
      </w:pPr>
      <w:r>
        <w:rPr>
          <w:rFonts w:ascii="Arial" w:cs="Arial" w:eastAsia="Arial" w:hAnsi="Arial"/>
          <w:sz w:val="22"/>
          <w:szCs w:val="22"/>
        </w:rPr>
        <w:t xml:space="preserve">gomemory es un sistema de memoria persistente para agentes de inteligencia artificial. Combina un CLI completo, una interfaz TUI interactiva, un servidor MCP (Model Context Protocol) y un sistema de plugins, todo empaquetado en un único binario autocontenido escrito en Go.</w:t>
      </w:r>
    </w:p>
    <w:p>
      <w:pPr>
        <w:spacing w:after="0" w:before="80"/>
      </w:pPr>
    </w:p>
    <w:p>
      <w:pPr>
        <w:spacing w:after="60" w:before="60"/>
      </w:pPr>
      <w:r>
        <w:rPr>
          <w:rFonts w:ascii="Arial" w:cs="Arial" w:eastAsia="Arial" w:hAnsi="Arial"/>
          <w:sz w:val="22"/>
          <w:szCs w:val="22"/>
        </w:rPr>
        <w:t xml:space="preserve">Su propósito central es resolver un problema crítico en el trabajo con agentes AI: la pérdida de contexto entre sesiones. Cuando un desarrollador vuelve a trabajar en un proyecto días o semanas después, el agente no recuerda las decisiones técnicas, los bugs corregidos, los patrones establecidos ni el estado del trabajo anterior. gomemory persiste todo ese conocimiento en SQLite y lo inyecta automáticamente al inicio de cada sesión.</w:t>
      </w:r>
    </w:p>
    <w:p>
      <w:pPr>
        <w:spacing w:after="0" w:before="80"/>
      </w:pPr>
    </w:p>
    <w:p>
      <w:pPr>
        <w:spacing w:after="60" w:before="60"/>
      </w:pPr>
      <w:r>
        <w:rPr>
          <w:rFonts w:ascii="Arial" w:cs="Arial" w:eastAsia="Arial" w:hAnsi="Arial"/>
          <w:sz w:val="22"/>
          <w:szCs w:val="22"/>
        </w:rPr>
        <w:t xml:space="preserve">El sistema es compatible con seis agentes AI de uso profesional: Claude Code, OpenCode, Cursor, Windsurf, Cline y Codex. No requiere dependencias en runtime — el binario compilado (~16MB) funciona de forma autónoma en Linux, macOS y Windows.</w:t>
      </w:r>
    </w:p>
    <w:p>
      <w:pPr>
        <w:pBdr>
          <w:bottom w:val="single" w:color="CC0000" w:sz="4"/>
        </w:pBdr>
        <w:spacing w:after="120" w:before="120"/>
      </w:pPr>
    </w:p>
    <w:p>
      <w:pPr>
        <w:spacing w:after="0" w:before="80"/>
      </w:pPr>
    </w:p>
    <w:p>
      <w:pPr>
        <w:shd w:fill="CC0000" w:val="clear"/>
        <w:spacing w:after="120" w:before="240"/>
        <w:ind w:left="120" w:right="120"/>
      </w:pPr>
      <w:r>
        <w:rPr>
          <w:rFonts w:ascii="Arial" w:cs="Arial" w:eastAsia="Arial" w:hAnsi="Arial"/>
          <w:b/>
          <w:bCs/>
          <w:color w:val="FFFFFF"/>
          <w:sz w:val="28"/>
          <w:szCs w:val="28"/>
        </w:rPr>
        <w:t xml:space="preserve">2. ARQUITECTURA DEL SISTEMA</w:t>
      </w:r>
    </w:p>
    <w:p>
      <w:pPr>
        <w:spacing w:after="0" w:before="120"/>
      </w:pPr>
    </w:p>
    <w:p>
      <w:pPr>
        <w:spacing w:after="80" w:before="180"/>
      </w:pPr>
      <w:r>
        <w:rPr>
          <w:rFonts w:ascii="Arial" w:cs="Arial" w:eastAsia="Arial" w:hAnsi="Arial"/>
          <w:b/>
          <w:bCs/>
          <w:color w:val="CC0000"/>
          <w:sz w:val="24"/>
          <w:szCs w:val="24"/>
        </w:rPr>
        <w:t xml:space="preserve">2.1 Arquitectura Hexagonal (Ports &amp; Adapters)</w:t>
      </w:r>
    </w:p>
    <w:p>
      <w:pPr>
        <w:spacing w:after="60" w:before="60"/>
      </w:pPr>
      <w:r>
        <w:rPr>
          <w:rFonts w:ascii="Arial" w:cs="Arial" w:eastAsia="Arial" w:hAnsi="Arial"/>
          <w:sz w:val="22"/>
          <w:szCs w:val="22"/>
        </w:rPr>
        <w:t xml:space="preserve">gomemory implementa arquitectura hexagonal con cuatro capas bien definidas, donde las dependencias siempre apuntan hacia adentro. Ninguna capa exterior conoce los detalles de implementación de las capas interiores.</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500"/>
        <w:gridCol w:w="4660"/>
      </w:tblGrid>
      <w:tr>
        <w:tc>
          <w:tcPr>
            <w:tcW w:type="dxa" w:w="2200"/>
            <w:tcBorders>
              <w:top w:val="single" w:color="CCCCCC" w:sz="1"/>
              <w:left w:val="single" w:color="CCCCCC" w:sz="1"/>
              <w:bottom w:val="single" w:color="CCCCCC" w:sz="1"/>
              <w:right w:val="single" w:color="CCCCCC" w:sz="1"/>
            </w:tcBorders>
            <w:shd w:fill="CC0000" w:val="clear"/>
            <w:tcMar>
              <w:top w:type="dxa" w:w="80"/>
              <w:left w:type="dxa" w:w="120"/>
              <w:bottom w:type="dxa" w:w="80"/>
              <w:right w:type="dxa" w:w="120"/>
            </w:tcMar>
          </w:tcPr>
          <w:p>
            <w:r>
              <w:rPr>
                <w:rFonts w:ascii="Arial" w:cs="Arial" w:eastAsia="Arial" w:hAnsi="Arial"/>
                <w:b/>
                <w:bCs/>
                <w:color w:val="FFFFFF"/>
                <w:sz w:val="20"/>
                <w:szCs w:val="20"/>
              </w:rPr>
              <w:t xml:space="preserve">Capa</w:t>
            </w:r>
          </w:p>
        </w:tc>
        <w:tc>
          <w:tcPr>
            <w:tcW w:type="dxa" w:w="2500"/>
            <w:tcBorders>
              <w:top w:val="single" w:color="CCCCCC" w:sz="1"/>
              <w:left w:val="single" w:color="CCCCCC" w:sz="1"/>
              <w:bottom w:val="single" w:color="CCCCCC" w:sz="1"/>
              <w:right w:val="single" w:color="CCCCCC" w:sz="1"/>
            </w:tcBorders>
            <w:shd w:fill="CC0000" w:val="clear"/>
            <w:tcMar>
              <w:top w:type="dxa" w:w="80"/>
              <w:left w:type="dxa" w:w="120"/>
              <w:bottom w:type="dxa" w:w="80"/>
              <w:right w:type="dxa" w:w="120"/>
            </w:tcMar>
          </w:tcPr>
          <w:p>
            <w:r>
              <w:rPr>
                <w:rFonts w:ascii="Arial" w:cs="Arial" w:eastAsia="Arial" w:hAnsi="Arial"/>
                <w:b/>
                <w:bCs/>
                <w:color w:val="FFFFFF"/>
                <w:sz w:val="20"/>
                <w:szCs w:val="20"/>
              </w:rPr>
              <w:t xml:space="preserve">Directorio</w:t>
            </w:r>
          </w:p>
        </w:tc>
        <w:tc>
          <w:tcPr>
            <w:tcW w:type="dxa" w:w="4660"/>
            <w:tcBorders>
              <w:top w:val="single" w:color="CCCCCC" w:sz="1"/>
              <w:left w:val="single" w:color="CCCCCC" w:sz="1"/>
              <w:bottom w:val="single" w:color="CCCCCC" w:sz="1"/>
              <w:right w:val="single" w:color="CCCCCC" w:sz="1"/>
            </w:tcBorders>
            <w:shd w:fill="CC0000" w:val="clear"/>
            <w:tcMar>
              <w:top w:type="dxa" w:w="80"/>
              <w:left w:type="dxa" w:w="120"/>
              <w:bottom w:type="dxa" w:w="80"/>
              <w:right w:type="dxa" w:w="120"/>
            </w:tcMar>
          </w:tcPr>
          <w:p>
            <w:r>
              <w:rPr>
                <w:rFonts w:ascii="Arial" w:cs="Arial" w:eastAsia="Arial" w:hAnsi="Arial"/>
                <w:b/>
                <w:bCs/>
                <w:color w:val="FFFFFF"/>
                <w:sz w:val="20"/>
                <w:szCs w:val="20"/>
              </w:rPr>
              <w:t xml:space="preserve">Responsabilidad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Domain</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domain/</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Tipos, validación y errores de dominio. Cero dependencias del proyecto.</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Application</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application/</w:t>
            </w:r>
          </w:p>
        </w:tc>
        <w:tc>
          <w:tcPr>
            <w:tcW w:type="dxa" w:w="46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Casos de uso y puertos (interfaces). Solo importa domain/.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Adapters (primary)</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adapters/primary/</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CLI, TUI, MCP server, setup. Reciben input del exterior.</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Adapters (secondary)</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adapters/secondary/</w:t>
            </w:r>
          </w:p>
        </w:tc>
        <w:tc>
          <w:tcPr>
            <w:tcW w:type="dxa" w:w="46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Persistencia SQLite. Implementan los ports de application.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Infrastructure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infrastructure/</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Composition root. main.go + container.go cablea todas las dependencias.</w:t>
            </w:r>
          </w:p>
        </w:tc>
      </w:tr>
    </w:tbl>
    <w:p>
      <w:pPr>
        <w:spacing w:after="0" w:before="160"/>
      </w:pPr>
    </w:p>
    <w:p>
      <w:pPr>
        <w:spacing w:after="80" w:before="180"/>
      </w:pPr>
      <w:r>
        <w:rPr>
          <w:rFonts w:ascii="Arial" w:cs="Arial" w:eastAsia="Arial" w:hAnsi="Arial"/>
          <w:b/>
          <w:bCs/>
          <w:color w:val="CC0000"/>
          <w:sz w:val="24"/>
          <w:szCs w:val="24"/>
        </w:rPr>
        <w:t xml:space="preserve">2.2 Reglas de Dependencia</w:t>
      </w:r>
    </w:p>
    <w:p>
      <w:pPr>
        <w:spacing w:after="60" w:before="60"/>
      </w:pPr>
      <w:r>
        <w:rPr>
          <w:rFonts w:ascii="Arial" w:cs="Arial" w:eastAsia="Arial" w:hAnsi="Arial"/>
          <w:sz w:val="22"/>
          <w:szCs w:val="22"/>
        </w:rPr>
        <w:t xml:space="preserve">La regla fundamental de la arquitectura hexagonal se respeta estrictamente en gomemory:</w:t>
      </w:r>
    </w:p>
    <w:p>
      <w:pPr>
        <w:pStyle w:val="ListParagraph"/>
        <w:numPr>
          <w:ilvl w:val="0"/>
          <w:numId w:val="2"/>
        </w:numPr>
        <w:spacing w:after="40" w:before="40"/>
      </w:pPr>
      <w:r>
        <w:rPr>
          <w:rFonts w:ascii="Arial" w:cs="Arial" w:eastAsia="Arial" w:hAnsi="Arial"/>
          <w:sz w:val="22"/>
          <w:szCs w:val="22"/>
        </w:rPr>
        <w:t xml:space="preserve">domain → ninguna dependencia del proyecto</w:t>
      </w:r>
    </w:p>
    <w:p>
      <w:pPr>
        <w:pStyle w:val="ListParagraph"/>
        <w:numPr>
          <w:ilvl w:val="0"/>
          <w:numId w:val="2"/>
        </w:numPr>
        <w:spacing w:after="40" w:before="40"/>
      </w:pPr>
      <w:r>
        <w:rPr>
          <w:rFonts w:ascii="Arial" w:cs="Arial" w:eastAsia="Arial" w:hAnsi="Arial"/>
          <w:sz w:val="22"/>
          <w:szCs w:val="22"/>
        </w:rPr>
        <w:t xml:space="preserve">application → solo importa domain</w:t>
      </w:r>
    </w:p>
    <w:p>
      <w:pPr>
        <w:pStyle w:val="ListParagraph"/>
        <w:numPr>
          <w:ilvl w:val="0"/>
          <w:numId w:val="2"/>
        </w:numPr>
        <w:spacing w:after="40" w:before="40"/>
      </w:pPr>
      <w:r>
        <w:rPr>
          <w:rFonts w:ascii="Arial" w:cs="Arial" w:eastAsia="Arial" w:hAnsi="Arial"/>
          <w:sz w:val="22"/>
          <w:szCs w:val="22"/>
        </w:rPr>
        <w:t xml:space="preserve">adapters/primary → application (vía interfaces definidas en ports/)</w:t>
      </w:r>
    </w:p>
    <w:p>
      <w:pPr>
        <w:pStyle w:val="ListParagraph"/>
        <w:numPr>
          <w:ilvl w:val="0"/>
          <w:numId w:val="2"/>
        </w:numPr>
        <w:spacing w:after="40" w:before="40"/>
      </w:pPr>
      <w:r>
        <w:rPr>
          <w:rFonts w:ascii="Arial" w:cs="Arial" w:eastAsia="Arial" w:hAnsi="Arial"/>
          <w:sz w:val="22"/>
          <w:szCs w:val="22"/>
        </w:rPr>
        <w:t xml:space="preserve">adapters/secondary → application + domain (implementa las interfaces)</w:t>
      </w:r>
    </w:p>
    <w:p>
      <w:pPr>
        <w:pStyle w:val="ListParagraph"/>
        <w:numPr>
          <w:ilvl w:val="0"/>
          <w:numId w:val="2"/>
        </w:numPr>
        <w:spacing w:after="40" w:before="40"/>
      </w:pPr>
      <w:r>
        <w:rPr>
          <w:rFonts w:ascii="Arial" w:cs="Arial" w:eastAsia="Arial" w:hAnsi="Arial"/>
          <w:sz w:val="22"/>
          <w:szCs w:val="22"/>
        </w:rPr>
        <w:t xml:space="preserve">infrastructure → todo (es el único lugar donde se ensamblan las piezas)</w:t>
      </w:r>
    </w:p>
    <w:p>
      <w:pPr>
        <w:spacing w:after="0" w:before="120"/>
      </w:pPr>
    </w:p>
    <w:p>
      <w:pPr>
        <w:spacing w:after="80" w:before="180"/>
      </w:pPr>
      <w:r>
        <w:rPr>
          <w:rFonts w:ascii="Arial" w:cs="Arial" w:eastAsia="Arial" w:hAnsi="Arial"/>
          <w:b/>
          <w:bCs/>
          <w:color w:val="CC0000"/>
          <w:sz w:val="24"/>
          <w:szCs w:val="24"/>
        </w:rPr>
        <w:t xml:space="preserve">2.3 Diagrama de Capas</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2200"/>
        <w:gridCol w:w="4260"/>
      </w:tblGrid>
      <w:tr>
        <w:tc>
          <w:tcPr>
            <w:tcW w:type="dxa" w:w="2900"/>
            <w:tcBorders>
              <w:top w:val="single" w:color="CCCCCC" w:sz="1"/>
              <w:left w:val="single" w:color="CCCCCC" w:sz="1"/>
              <w:bottom w:val="single" w:color="CCCCCC" w:sz="1"/>
              <w:right w:val="single" w:color="CCCCCC" w:sz="1"/>
            </w:tcBorders>
            <w:shd w:fill="CC0000" w:val="clear"/>
            <w:tcMar>
              <w:top w:type="dxa" w:w="80"/>
              <w:left w:type="dxa" w:w="120"/>
              <w:bottom w:type="dxa" w:w="80"/>
              <w:right w:type="dxa" w:w="120"/>
            </w:tcMar>
          </w:tcPr>
          <w:p>
            <w:r>
              <w:rPr>
                <w:rFonts w:ascii="Arial" w:cs="Arial" w:eastAsia="Arial" w:hAnsi="Arial"/>
                <w:b/>
                <w:bCs/>
                <w:color w:val="FFFFFF"/>
                <w:sz w:val="20"/>
                <w:szCs w:val="20"/>
              </w:rPr>
              <w:t xml:space="preserve">Componente</w:t>
            </w:r>
          </w:p>
        </w:tc>
        <w:tc>
          <w:tcPr>
            <w:tcW w:type="dxa" w:w="2200"/>
            <w:tcBorders>
              <w:top w:val="single" w:color="CCCCCC" w:sz="1"/>
              <w:left w:val="single" w:color="CCCCCC" w:sz="1"/>
              <w:bottom w:val="single" w:color="CCCCCC" w:sz="1"/>
              <w:right w:val="single" w:color="CCCCCC" w:sz="1"/>
            </w:tcBorders>
            <w:shd w:fill="CC0000" w:val="clear"/>
            <w:tcMar>
              <w:top w:type="dxa" w:w="80"/>
              <w:left w:type="dxa" w:w="120"/>
              <w:bottom w:type="dxa" w:w="80"/>
              <w:right w:type="dxa" w:w="120"/>
            </w:tcMar>
          </w:tcPr>
          <w:p>
            <w:r>
              <w:rPr>
                <w:rFonts w:ascii="Arial" w:cs="Arial" w:eastAsia="Arial" w:hAnsi="Arial"/>
                <w:b/>
                <w:bCs/>
                <w:color w:val="FFFFFF"/>
                <w:sz w:val="20"/>
                <w:szCs w:val="20"/>
              </w:rPr>
              <w:t xml:space="preserve">Tipo</w:t>
            </w:r>
          </w:p>
        </w:tc>
        <w:tc>
          <w:tcPr>
            <w:tcW w:type="dxa" w:w="4260"/>
            <w:tcBorders>
              <w:top w:val="single" w:color="CCCCCC" w:sz="1"/>
              <w:left w:val="single" w:color="CCCCCC" w:sz="1"/>
              <w:bottom w:val="single" w:color="CCCCCC" w:sz="1"/>
              <w:right w:val="single" w:color="CCCCCC" w:sz="1"/>
            </w:tcBorders>
            <w:shd w:fill="CC0000" w:val="clear"/>
            <w:tcMar>
              <w:top w:type="dxa" w:w="80"/>
              <w:left w:type="dxa" w:w="120"/>
              <w:bottom w:type="dxa" w:w="80"/>
              <w:right w:type="dxa" w:w="120"/>
            </w:tcMar>
          </w:tcPr>
          <w:p>
            <w:r>
              <w:rPr>
                <w:rFonts w:ascii="Arial" w:cs="Arial" w:eastAsia="Arial" w:hAnsi="Arial"/>
                <w:b/>
                <w:bCs/>
                <w:color w:val="FFFFFF"/>
                <w:sz w:val="20"/>
                <w:szCs w:val="20"/>
              </w:rPr>
              <w:t xml:space="preserve">Descripción</w:t>
            </w:r>
          </w:p>
        </w:tc>
      </w:tr>
      <w:tr>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infrastructure/main.go</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Entry point</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Punto de entrada. Ensambla el contenedor de dependencias y ejecuta el CLI.</w:t>
            </w:r>
          </w:p>
        </w:tc>
      </w:tr>
      <w:tr>
        <w:tc>
          <w:tcPr>
            <w:tcW w:type="dxa" w:w="2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infrastructure/container.go</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Composition root</w:t>
            </w:r>
          </w:p>
        </w:tc>
        <w:tc>
          <w:tcPr>
            <w:tcW w:type="dxa" w:w="42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Crea todos los repositorios y los inyecta en los adaptadores.</w:t>
            </w:r>
          </w:p>
        </w:tc>
      </w:tr>
      <w:tr>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adapters/primary/cli/</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Adaptador primario</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23 subcomandos CLI, dispatcher central y gestión de dependencias.</w:t>
            </w:r>
          </w:p>
        </w:tc>
      </w:tr>
      <w:tr>
        <w:tc>
          <w:tcPr>
            <w:tcW w:type="dxa" w:w="2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adapters/primary/tui/</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Adaptador primario</w:t>
            </w:r>
          </w:p>
        </w:tc>
        <w:tc>
          <w:tcPr>
            <w:tcW w:type="dxa" w:w="42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Interfaz de terminal interactiva con Bubbletea.</w:t>
            </w:r>
          </w:p>
        </w:tc>
      </w:tr>
      <w:tr>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adapters/primary/mcp/</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Adaptador primario</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Servidor MCP con 7 herramientas y 2 recursos.</w:t>
            </w:r>
          </w:p>
        </w:tc>
      </w:tr>
      <w:tr>
        <w:tc>
          <w:tcPr>
            <w:tcW w:type="dxa" w:w="2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adapters/primary/setup/</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Adaptador primario</w:t>
            </w:r>
          </w:p>
        </w:tc>
        <w:tc>
          <w:tcPr>
            <w:tcW w:type="dxa" w:w="42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Instalación de plugins y hooks por agente.</w:t>
            </w:r>
          </w:p>
        </w:tc>
      </w:tr>
      <w:tr>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adapters/secondary/persistence/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Adaptador secundario</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Persistencia SQLite con WAL mode y migraciones automáticas.</w:t>
            </w:r>
          </w:p>
        </w:tc>
      </w:tr>
      <w:tr>
        <w:tc>
          <w:tcPr>
            <w:tcW w:type="dxa" w:w="2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application/ports/</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Puerto</w:t>
            </w:r>
          </w:p>
        </w:tc>
        <w:tc>
          <w:tcPr>
            <w:tcW w:type="dxa" w:w="42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Interfaces que definen los contratos entre capas.</w:t>
            </w:r>
          </w:p>
        </w:tc>
      </w:tr>
      <w:tr>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application/usecases/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Caso de uso</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Lógica de construcción del contexto markdown.</w:t>
            </w:r>
          </w:p>
        </w:tc>
      </w:tr>
      <w:tr>
        <w:tc>
          <w:tcPr>
            <w:tcW w:type="dxa" w:w="2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domain/</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Dominio</w:t>
            </w:r>
          </w:p>
        </w:tc>
        <w:tc>
          <w:tcPr>
            <w:tcW w:type="dxa" w:w="42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Tipos Memory, Session, Relation y errores de dominio.</w:t>
            </w:r>
          </w:p>
        </w:tc>
      </w:tr>
    </w:tbl>
    <w:p>
      <w:pPr>
        <w:pBdr>
          <w:bottom w:val="single" w:color="CC0000" w:sz="4"/>
        </w:pBdr>
        <w:spacing w:after="120" w:before="120"/>
      </w:pPr>
    </w:p>
    <w:p>
      <w:pPr>
        <w:shd w:fill="CC0000" w:val="clear"/>
        <w:spacing w:after="120" w:before="240"/>
        <w:ind w:left="120" w:right="120"/>
      </w:pPr>
      <w:r>
        <w:rPr>
          <w:rFonts w:ascii="Arial" w:cs="Arial" w:eastAsia="Arial" w:hAnsi="Arial"/>
          <w:b/>
          <w:bCs/>
          <w:color w:val="FFFFFF"/>
          <w:sz w:val="28"/>
          <w:szCs w:val="28"/>
        </w:rPr>
        <w:t xml:space="preserve">3. DESCRIPCIÓN DE COMPONENTES</w:t>
      </w:r>
    </w:p>
    <w:p>
      <w:pPr>
        <w:spacing w:after="0" w:before="120"/>
      </w:pPr>
    </w:p>
    <w:p>
      <w:pPr>
        <w:spacing w:after="80" w:before="180"/>
      </w:pPr>
      <w:r>
        <w:rPr>
          <w:rFonts w:ascii="Arial" w:cs="Arial" w:eastAsia="Arial" w:hAnsi="Arial"/>
          <w:b/>
          <w:bCs/>
          <w:color w:val="CC0000"/>
          <w:sz w:val="24"/>
          <w:szCs w:val="24"/>
        </w:rPr>
        <w:t xml:space="preserve">3.1 CLI — Interfaz de Línea de Comandos</w:t>
      </w:r>
    </w:p>
    <w:p>
      <w:pPr>
        <w:spacing w:after="60" w:before="60"/>
      </w:pPr>
      <w:r>
        <w:rPr>
          <w:rFonts w:ascii="Arial" w:cs="Arial" w:eastAsia="Arial" w:hAnsi="Arial"/>
          <w:sz w:val="22"/>
          <w:szCs w:val="22"/>
        </w:rPr>
        <w:t xml:space="preserve">El CLI es el punto de entrada principal para usuarios y scripts. Implementa 23 subcomandos agrupados por función. El dispatcher central en adapters/primary/cli/dispatcher.go analiza os.Args y delega la ejecución al handler correspondiente, pasando las dependencias inyectadas por el contenedor de infraestructura.</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000"/>
        <w:gridCol w:w="5460"/>
      </w:tblGrid>
      <w:tr>
        <w:tc>
          <w:tcPr>
            <w:tcW w:type="dxa" w:w="1900"/>
            <w:tcBorders>
              <w:top w:val="single" w:color="CCCCCC" w:sz="1"/>
              <w:left w:val="single" w:color="CCCCCC" w:sz="1"/>
              <w:bottom w:val="single" w:color="CCCCCC" w:sz="1"/>
              <w:right w:val="single" w:color="CCCCCC" w:sz="1"/>
            </w:tcBorders>
            <w:shd w:fill="CC0000" w:val="clear"/>
            <w:tcMar>
              <w:top w:type="dxa" w:w="80"/>
              <w:left w:type="dxa" w:w="120"/>
              <w:bottom w:type="dxa" w:w="80"/>
              <w:right w:type="dxa" w:w="120"/>
            </w:tcMar>
          </w:tcPr>
          <w:p>
            <w:r>
              <w:rPr>
                <w:rFonts w:ascii="Arial" w:cs="Arial" w:eastAsia="Arial" w:hAnsi="Arial"/>
                <w:b/>
                <w:bCs/>
                <w:color w:val="FFFFFF"/>
                <w:sz w:val="20"/>
                <w:szCs w:val="20"/>
              </w:rPr>
              <w:t xml:space="preserve">Comando</w:t>
            </w:r>
          </w:p>
        </w:tc>
        <w:tc>
          <w:tcPr>
            <w:tcW w:type="dxa" w:w="2000"/>
            <w:tcBorders>
              <w:top w:val="single" w:color="CCCCCC" w:sz="1"/>
              <w:left w:val="single" w:color="CCCCCC" w:sz="1"/>
              <w:bottom w:val="single" w:color="CCCCCC" w:sz="1"/>
              <w:right w:val="single" w:color="CCCCCC" w:sz="1"/>
            </w:tcBorders>
            <w:shd w:fill="CC0000" w:val="clear"/>
            <w:tcMar>
              <w:top w:type="dxa" w:w="80"/>
              <w:left w:type="dxa" w:w="120"/>
              <w:bottom w:type="dxa" w:w="80"/>
              <w:right w:type="dxa" w:w="120"/>
            </w:tcMar>
          </w:tcPr>
          <w:p>
            <w:r>
              <w:rPr>
                <w:rFonts w:ascii="Arial" w:cs="Arial" w:eastAsia="Arial" w:hAnsi="Arial"/>
                <w:b/>
                <w:bCs/>
                <w:color w:val="FFFFFF"/>
                <w:sz w:val="20"/>
                <w:szCs w:val="20"/>
              </w:rPr>
              <w:t xml:space="preserve">Archivo</w:t>
            </w:r>
          </w:p>
        </w:tc>
        <w:tc>
          <w:tcPr>
            <w:tcW w:type="dxa" w:w="5460"/>
            <w:tcBorders>
              <w:top w:val="single" w:color="CCCCCC" w:sz="1"/>
              <w:left w:val="single" w:color="CCCCCC" w:sz="1"/>
              <w:bottom w:val="single" w:color="CCCCCC" w:sz="1"/>
              <w:right w:val="single" w:color="CCCCCC" w:sz="1"/>
            </w:tcBorders>
            <w:shd w:fill="CC0000" w:val="clear"/>
            <w:tcMar>
              <w:top w:type="dxa" w:w="80"/>
              <w:left w:type="dxa" w:w="120"/>
              <w:bottom w:type="dxa" w:w="80"/>
              <w:right w:type="dxa" w:w="120"/>
            </w:tcMar>
          </w:tcPr>
          <w:p>
            <w:r>
              <w:rPr>
                <w:rFonts w:ascii="Arial" w:cs="Arial" w:eastAsia="Arial" w:hAnsi="Arial"/>
                <w:b/>
                <w:bCs/>
                <w:color w:val="FFFFFF"/>
                <w:sz w:val="20"/>
                <w:szCs w:val="20"/>
              </w:rPr>
              <w:t xml:space="preserve">Función</w:t>
            </w:r>
          </w:p>
        </w:tc>
      </w:tr>
      <w:tr>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mem init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cmd_init.go</w:t>
            </w:r>
          </w:p>
        </w:tc>
        <w:tc>
          <w:tcPr>
            <w:tcW w:type="dxa" w:w="5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Crea .memory/ y las tablas SQLite del proyecto.</w:t>
            </w:r>
          </w:p>
        </w:tc>
      </w:tr>
      <w:tr>
        <w:tc>
          <w:tcPr>
            <w:tcW w:type="dxa" w:w="1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mem save</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cmd_save.go</w:t>
            </w:r>
          </w:p>
        </w:tc>
        <w:tc>
          <w:tcPr>
            <w:tcW w:type="dxa" w:w="54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Guarda una memoria con tipo, título y cuerpo.</w:t>
            </w:r>
          </w:p>
        </w:tc>
      </w:tr>
      <w:tr>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mem capture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cmd_capture.go</w:t>
            </w:r>
          </w:p>
        </w:tc>
        <w:tc>
          <w:tcPr>
            <w:tcW w:type="dxa" w:w="5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Guarda aprendizaje estructurado (What/Why/Where/Learned).</w:t>
            </w:r>
          </w:p>
        </w:tc>
      </w:tr>
      <w:tr>
        <w:tc>
          <w:tcPr>
            <w:tcW w:type="dxa" w:w="1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mem compare</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cmd_compare.go</w:t>
            </w:r>
          </w:p>
        </w:tc>
        <w:tc>
          <w:tcPr>
            <w:tcW w:type="dxa" w:w="54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Compara dos memorias y persiste el veredicto semántico.</w:t>
            </w:r>
          </w:p>
        </w:tc>
      </w:tr>
      <w:tr>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mem search</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cmd_search.go</w:t>
            </w:r>
          </w:p>
        </w:tc>
        <w:tc>
          <w:tcPr>
            <w:tcW w:type="dxa" w:w="5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Búsqueda con ranking por relevancia (título primero).</w:t>
            </w:r>
          </w:p>
        </w:tc>
      </w:tr>
      <w:tr>
        <w:tc>
          <w:tcPr>
            <w:tcW w:type="dxa" w:w="1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mem context</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cmd_context.go</w:t>
            </w:r>
          </w:p>
        </w:tc>
        <w:tc>
          <w:tcPr>
            <w:tcW w:type="dxa" w:w="54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Genera el contexto markdown para el agente AI.</w:t>
            </w:r>
          </w:p>
        </w:tc>
      </w:tr>
      <w:tr>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mem session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cmd_session.go</w:t>
            </w:r>
          </w:p>
        </w:tc>
        <w:tc>
          <w:tcPr>
            <w:tcW w:type="dxa" w:w="5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Gestiona sesiones de trabajo (start/end/list).</w:t>
            </w:r>
          </w:p>
        </w:tc>
      </w:tr>
      <w:tr>
        <w:tc>
          <w:tcPr>
            <w:tcW w:type="dxa" w:w="1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mem install</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cmd_install.go</w:t>
            </w:r>
          </w:p>
        </w:tc>
        <w:tc>
          <w:tcPr>
            <w:tcW w:type="dxa" w:w="54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Instala gomemory en un proyecto (MCP + agentes).</w:t>
            </w:r>
          </w:p>
        </w:tc>
      </w:tr>
      <w:tr>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mem setup</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cmd_setup.go</w:t>
            </w:r>
          </w:p>
        </w:tc>
        <w:tc>
          <w:tcPr>
            <w:tcW w:type="dxa" w:w="5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Instala el plugin y hooks de un agente específico.</w:t>
            </w:r>
          </w:p>
        </w:tc>
      </w:tr>
      <w:tr>
        <w:tc>
          <w:tcPr>
            <w:tcW w:type="dxa" w:w="1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mem hook</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cmd_hook.go</w:t>
            </w:r>
          </w:p>
        </w:tc>
        <w:tc>
          <w:tcPr>
            <w:tcW w:type="dxa" w:w="54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Entrypoint portable para hooks de Claude Code.</w:t>
            </w:r>
          </w:p>
        </w:tc>
      </w:tr>
      <w:tr>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mem mcp</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cmd_mcp.go</w:t>
            </w:r>
          </w:p>
        </w:tc>
        <w:tc>
          <w:tcPr>
            <w:tcW w:type="dxa" w:w="5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Servidor MCP sobre stdio con 7 tools y 2 recursos.</w:t>
            </w:r>
          </w:p>
        </w:tc>
      </w:tr>
      <w:tr>
        <w:tc>
          <w:tcPr>
            <w:tcW w:type="dxa" w:w="1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mem serve</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cmd_serve.go</w:t>
            </w:r>
          </w:p>
        </w:tc>
        <w:tc>
          <w:tcPr>
            <w:tcW w:type="dxa" w:w="54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Servidor HTTP en 127.0.0.1:9735 para plugins.</w:t>
            </w:r>
          </w:p>
        </w:tc>
      </w:tr>
      <w:tr>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mem purge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cmd_purge.go</w:t>
            </w:r>
          </w:p>
        </w:tc>
        <w:tc>
          <w:tcPr>
            <w:tcW w:type="dxa" w:w="5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Borra memorias (proyecto, tipo, antigüedad).</w:t>
            </w:r>
          </w:p>
        </w:tc>
      </w:tr>
      <w:tr>
        <w:tc>
          <w:tcPr>
            <w:tcW w:type="dxa" w:w="1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mem compact</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cmd_compact.go</w:t>
            </w:r>
          </w:p>
        </w:tc>
        <w:tc>
          <w:tcPr>
            <w:tcW w:type="dxa" w:w="54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VACUUM de SQLite para recuperar espacio.</w:t>
            </w:r>
          </w:p>
        </w:tc>
      </w:tr>
      <w:tr>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mem gc</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cmd_gc.go</w:t>
            </w:r>
          </w:p>
        </w:tc>
        <w:tc>
          <w:tcPr>
            <w:tcW w:type="dxa" w:w="5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Garbage collection por antigüedad (90 días por defecto).</w:t>
            </w:r>
          </w:p>
        </w:tc>
      </w:tr>
      <w:tr>
        <w:tc>
          <w:tcPr>
            <w:tcW w:type="dxa" w:w="1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mem wrap</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cmd_wrap.go</w:t>
            </w:r>
          </w:p>
        </w:tc>
        <w:tc>
          <w:tcPr>
            <w:tcW w:type="dxa" w:w="54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Envuelve un comando y pregunta si guardar al terminar.</w:t>
            </w:r>
          </w:p>
        </w:tc>
      </w:tr>
      <w:tr>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mem uninstall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cmd_uninstall.go</w:t>
            </w:r>
          </w:p>
        </w:tc>
        <w:tc>
          <w:tcPr>
            <w:tcW w:type="dxa" w:w="5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Reverso de install: elimina binario, hooks, MCP y datos.</w:t>
            </w:r>
          </w:p>
        </w:tc>
      </w:tr>
    </w:tbl>
    <w:p>
      <w:pPr>
        <w:spacing w:after="0" w:before="160"/>
      </w:pPr>
    </w:p>
    <w:p>
      <w:pPr>
        <w:spacing w:after="80" w:before="180"/>
      </w:pPr>
      <w:r>
        <w:rPr>
          <w:rFonts w:ascii="Arial" w:cs="Arial" w:eastAsia="Arial" w:hAnsi="Arial"/>
          <w:b/>
          <w:bCs/>
          <w:color w:val="CC0000"/>
          <w:sz w:val="24"/>
          <w:szCs w:val="24"/>
        </w:rPr>
        <w:t xml:space="preserve">3.2 TUI — Interfaz de Terminal Interactiva</w:t>
      </w:r>
    </w:p>
    <w:p>
      <w:pPr>
        <w:spacing w:after="60" w:before="60"/>
      </w:pPr>
      <w:r>
        <w:rPr>
          <w:rFonts w:ascii="Arial" w:cs="Arial" w:eastAsia="Arial" w:hAnsi="Arial"/>
          <w:sz w:val="22"/>
          <w:szCs w:val="22"/>
        </w:rPr>
        <w:t xml:space="preserve">Implementada con el framework Bubbletea (arquitectura Elm-style), la TUI ofrece una experiencia visual completa directamente en la terminal. Usa pantalla alternativa para no contaminar el historial del shell.</w:t>
      </w:r>
    </w:p>
    <w:p>
      <w:pPr>
        <w:spacing w:after="0" w:before="80"/>
      </w:pPr>
    </w:p>
    <w:p>
      <w:pPr>
        <w:spacing w:after="60" w:before="60"/>
      </w:pPr>
      <w:r>
        <w:rPr>
          <w:rFonts w:ascii="Arial" w:cs="Arial" w:eastAsia="Arial" w:hAnsi="Arial"/>
          <w:sz w:val="22"/>
          <w:szCs w:val="22"/>
        </w:rPr>
        <w:t xml:space="preserve">La TUI tiene tres pantallas (estados del modelo): screenList para navegar y filtrar memorias en vivo, screenDetail para ver el contenido completo de una memoria seleccionada, y screenSave con un formulario de cuatro campos para guardar nuevas memorias.</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CC0000" w:val="clear"/>
            <w:tcMar>
              <w:top w:type="dxa" w:w="80"/>
              <w:left w:type="dxa" w:w="120"/>
              <w:bottom w:type="dxa" w:w="80"/>
              <w:right w:type="dxa" w:w="120"/>
            </w:tcMar>
          </w:tcPr>
          <w:p>
            <w:r>
              <w:rPr>
                <w:rFonts w:ascii="Arial" w:cs="Arial" w:eastAsia="Arial" w:hAnsi="Arial"/>
                <w:b/>
                <w:bCs/>
                <w:color w:val="FFFFFF"/>
                <w:sz w:val="20"/>
                <w:szCs w:val="20"/>
              </w:rPr>
              <w:t xml:space="preserve">Tecla</w:t>
            </w:r>
          </w:p>
        </w:tc>
        <w:tc>
          <w:tcPr>
            <w:tcW w:type="dxa" w:w="6860"/>
            <w:tcBorders>
              <w:top w:val="single" w:color="CCCCCC" w:sz="1"/>
              <w:left w:val="single" w:color="CCCCCC" w:sz="1"/>
              <w:bottom w:val="single" w:color="CCCCCC" w:sz="1"/>
              <w:right w:val="single" w:color="CCCCCC" w:sz="1"/>
            </w:tcBorders>
            <w:shd w:fill="CC0000" w:val="clear"/>
            <w:tcMar>
              <w:top w:type="dxa" w:w="80"/>
              <w:left w:type="dxa" w:w="120"/>
              <w:bottom w:type="dxa" w:w="80"/>
              <w:right w:type="dxa" w:w="120"/>
            </w:tcMar>
          </w:tcPr>
          <w:p>
            <w:r>
              <w:rPr>
                <w:rFonts w:ascii="Arial" w:cs="Arial" w:eastAsia="Arial" w:hAnsi="Arial"/>
                <w:b/>
                <w:bCs/>
                <w:color w:val="FFFFFF"/>
                <w:sz w:val="20"/>
                <w:szCs w:val="20"/>
              </w:rPr>
              <w:t xml:space="preserve">Acción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 / ↓ o j / k</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Navegar entre memorias</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Enter</w:t>
            </w:r>
          </w:p>
        </w:tc>
        <w:tc>
          <w:tcPr>
            <w:tcW w:type="dxa" w:w="6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Ver detalle de memoria seleccionada</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Abrir formulario para guardar nueva memoria</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 </w:t>
            </w:r>
          </w:p>
        </w:tc>
        <w:tc>
          <w:tcPr>
            <w:tcW w:type="dxa" w:w="6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Activar búsqueda en vivo</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Tab / ↑↓</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Cambiar campo activo en el formulario de guardado</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Esc</w:t>
            </w:r>
          </w:p>
        </w:tc>
        <w:tc>
          <w:tcPr>
            <w:tcW w:type="dxa" w:w="6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Volver a la lista / cancelar / salir de búsqueda</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q / Ctrl+C</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Salir de la TUI</w:t>
            </w:r>
          </w:p>
        </w:tc>
      </w:tr>
    </w:tbl>
    <w:p>
      <w:pPr>
        <w:spacing w:after="0" w:before="160"/>
      </w:pPr>
    </w:p>
    <w:p>
      <w:pPr>
        <w:spacing w:after="80" w:before="180"/>
      </w:pPr>
      <w:r>
        <w:rPr>
          <w:rFonts w:ascii="Arial" w:cs="Arial" w:eastAsia="Arial" w:hAnsi="Arial"/>
          <w:b/>
          <w:bCs/>
          <w:color w:val="CC0000"/>
          <w:sz w:val="24"/>
          <w:szCs w:val="24"/>
        </w:rPr>
        <w:t xml:space="preserve">3.3 Servidor MCP — Model Context Protocol</w:t>
      </w:r>
    </w:p>
    <w:p>
      <w:pPr>
        <w:spacing w:after="60" w:before="60"/>
      </w:pPr>
      <w:r>
        <w:rPr>
          <w:rFonts w:ascii="Arial" w:cs="Arial" w:eastAsia="Arial" w:hAnsi="Arial"/>
          <w:sz w:val="22"/>
          <w:szCs w:val="22"/>
        </w:rPr>
        <w:t xml:space="preserve">El servidor MCP expone la memoria como herramientas nativas del protocolo MCP, permitiendo que los agentes AI invoquen operaciones de memoria directamente desde su sistema de herramientas, sin depender de instrucciones en texto plano. El transporte es stdio, conforme al estándar MCP.</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c>
          <w:tcPr>
            <w:tcW w:type="dxa" w:w="2200"/>
            <w:tcBorders>
              <w:top w:val="single" w:color="CCCCCC" w:sz="1"/>
              <w:left w:val="single" w:color="CCCCCC" w:sz="1"/>
              <w:bottom w:val="single" w:color="CCCCCC" w:sz="1"/>
              <w:right w:val="single" w:color="CCCCCC" w:sz="1"/>
            </w:tcBorders>
            <w:shd w:fill="CC0000" w:val="clear"/>
            <w:tcMar>
              <w:top w:type="dxa" w:w="80"/>
              <w:left w:type="dxa" w:w="120"/>
              <w:bottom w:type="dxa" w:w="80"/>
              <w:right w:type="dxa" w:w="120"/>
            </w:tcMar>
          </w:tcPr>
          <w:p>
            <w:r>
              <w:rPr>
                <w:rFonts w:ascii="Arial" w:cs="Arial" w:eastAsia="Arial" w:hAnsi="Arial"/>
                <w:b/>
                <w:bCs/>
                <w:color w:val="FFFFFF"/>
                <w:sz w:val="20"/>
                <w:szCs w:val="20"/>
              </w:rPr>
              <w:t xml:space="preserve">Herramienta MCP</w:t>
            </w:r>
          </w:p>
        </w:tc>
        <w:tc>
          <w:tcPr>
            <w:tcW w:type="dxa" w:w="2800"/>
            <w:tcBorders>
              <w:top w:val="single" w:color="CCCCCC" w:sz="1"/>
              <w:left w:val="single" w:color="CCCCCC" w:sz="1"/>
              <w:bottom w:val="single" w:color="CCCCCC" w:sz="1"/>
              <w:right w:val="single" w:color="CCCCCC" w:sz="1"/>
            </w:tcBorders>
            <w:shd w:fill="CC0000" w:val="clear"/>
            <w:tcMar>
              <w:top w:type="dxa" w:w="80"/>
              <w:left w:type="dxa" w:w="120"/>
              <w:bottom w:type="dxa" w:w="80"/>
              <w:right w:type="dxa" w:w="120"/>
            </w:tcMar>
          </w:tcPr>
          <w:p>
            <w:r>
              <w:rPr>
                <w:rFonts w:ascii="Arial" w:cs="Arial" w:eastAsia="Arial" w:hAnsi="Arial"/>
                <w:b/>
                <w:bCs/>
                <w:color w:val="FFFFFF"/>
                <w:sz w:val="20"/>
                <w:szCs w:val="20"/>
              </w:rPr>
              <w:t xml:space="preserve">Parámetros</w:t>
            </w:r>
          </w:p>
        </w:tc>
        <w:tc>
          <w:tcPr>
            <w:tcW w:type="dxa" w:w="4360"/>
            <w:tcBorders>
              <w:top w:val="single" w:color="CCCCCC" w:sz="1"/>
              <w:left w:val="single" w:color="CCCCCC" w:sz="1"/>
              <w:bottom w:val="single" w:color="CCCCCC" w:sz="1"/>
              <w:right w:val="single" w:color="CCCCCC" w:sz="1"/>
            </w:tcBorders>
            <w:shd w:fill="CC0000" w:val="clear"/>
            <w:tcMar>
              <w:top w:type="dxa" w:w="80"/>
              <w:left w:type="dxa" w:w="120"/>
              <w:bottom w:type="dxa" w:w="80"/>
              <w:right w:type="dxa" w:w="120"/>
            </w:tcMar>
          </w:tcPr>
          <w:p>
            <w:r>
              <w:rPr>
                <w:rFonts w:ascii="Arial" w:cs="Arial" w:eastAsia="Arial" w:hAnsi="Arial"/>
                <w:b/>
                <w:bCs/>
                <w:color w:val="FFFFFF"/>
                <w:sz w:val="20"/>
                <w:szCs w:val="20"/>
              </w:rPr>
              <w:t xml:space="preserve">Descripción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save_memory</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title, type, content, filepath?</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Guarda una memoria asociada a la sesión activa si existe.</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search_memories</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query, limit?</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Busca memorias con ranking por relevancia.</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list_memories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limit?</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Lista las memorias más recientes del proyecto.</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get_memory</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id</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Obtiene una memoria específica con todos sus metadatos.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start_session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Inicia una sesión de trabajo. Valida que no exista una activa.</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end_session</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summary</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Finaliza la sesión activa con un resumen.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get_context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Retorna el contexto markdown completo del proyecto.</w:t>
            </w:r>
          </w:p>
        </w:tc>
      </w:tr>
    </w:tbl>
    <w:p>
      <w:pPr>
        <w:spacing w:after="0" w:before="120"/>
      </w:pPr>
    </w:p>
    <w:p>
      <w:pPr>
        <w:spacing w:after="60" w:before="60"/>
      </w:pPr>
      <w:r>
        <w:rPr>
          <w:rFonts w:ascii="Arial" w:cs="Arial" w:eastAsia="Arial" w:hAnsi="Arial"/>
          <w:sz w:val="22"/>
          <w:szCs w:val="22"/>
        </w:rPr>
        <w:t xml:space="preserve">Recursos MCP disponibles: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CC0000" w:val="clear"/>
            <w:tcMar>
              <w:top w:type="dxa" w:w="80"/>
              <w:left w:type="dxa" w:w="120"/>
              <w:bottom w:type="dxa" w:w="80"/>
              <w:right w:type="dxa" w:w="120"/>
            </w:tcMar>
          </w:tcPr>
          <w:p>
            <w:r>
              <w:rPr>
                <w:rFonts w:ascii="Arial" w:cs="Arial" w:eastAsia="Arial" w:hAnsi="Arial"/>
                <w:b/>
                <w:bCs/>
                <w:color w:val="FFFFFF"/>
                <w:sz w:val="20"/>
                <w:szCs w:val="20"/>
              </w:rPr>
              <w:t xml:space="preserve">URI de Recurso</w:t>
            </w:r>
          </w:p>
        </w:tc>
        <w:tc>
          <w:tcPr>
            <w:tcW w:type="dxa" w:w="6360"/>
            <w:tcBorders>
              <w:top w:val="single" w:color="CCCCCC" w:sz="1"/>
              <w:left w:val="single" w:color="CCCCCC" w:sz="1"/>
              <w:bottom w:val="single" w:color="CCCCCC" w:sz="1"/>
              <w:right w:val="single" w:color="CCCCCC" w:sz="1"/>
            </w:tcBorders>
            <w:shd w:fill="CC0000" w:val="clear"/>
            <w:tcMar>
              <w:top w:type="dxa" w:w="80"/>
              <w:left w:type="dxa" w:w="120"/>
              <w:bottom w:type="dxa" w:w="80"/>
              <w:right w:type="dxa" w:w="120"/>
            </w:tcMar>
          </w:tcPr>
          <w:p>
            <w:r>
              <w:rPr>
                <w:rFonts w:ascii="Arial" w:cs="Arial" w:eastAsia="Arial" w:hAnsi="Arial"/>
                <w:b/>
                <w:bCs/>
                <w:color w:val="FFFFFF"/>
                <w:sz w:val="20"/>
                <w:szCs w:val="20"/>
              </w:rPr>
              <w:t xml:space="preserve">Descripción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mem://context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Contexto markdown completo del proyecto.</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mem://memory/{id}</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Memoria específica por ID (resource template).</w:t>
            </w:r>
          </w:p>
        </w:tc>
      </w:tr>
    </w:tbl>
    <w:p>
      <w:pPr>
        <w:spacing w:after="0" w:before="160"/>
      </w:pPr>
    </w:p>
    <w:p>
      <w:pPr>
        <w:spacing w:after="80" w:before="180"/>
      </w:pPr>
      <w:r>
        <w:rPr>
          <w:rFonts w:ascii="Arial" w:cs="Arial" w:eastAsia="Arial" w:hAnsi="Arial"/>
          <w:b/>
          <w:bCs/>
          <w:color w:val="CC0000"/>
          <w:sz w:val="24"/>
          <w:szCs w:val="24"/>
        </w:rPr>
        <w:t xml:space="preserve">3.4 Hooks Portables para Claude Code</w:t>
      </w:r>
    </w:p>
    <w:p>
      <w:pPr>
        <w:spacing w:after="60" w:before="60"/>
      </w:pPr>
      <w:r>
        <w:rPr>
          <w:rFonts w:ascii="Arial" w:cs="Arial" w:eastAsia="Arial" w:hAnsi="Arial"/>
          <w:sz w:val="22"/>
          <w:szCs w:val="22"/>
        </w:rPr>
        <w:t xml:space="preserve">Los hooks de Claude Code son subcomandos del binario mem que se registran en .claude/settings.json. Son completamente portables (no dependen de bash, curl ni de un servidor HTTP) y funcionan igual en Linux, macOS y Windows. Ningún hook aborta el arranque del agente — ante cualquier error salen en silencio con código 0.</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4360"/>
      </w:tblGrid>
      <w:tr>
        <w:tc>
          <w:tcPr>
            <w:tcW w:type="dxa" w:w="2400"/>
            <w:tcBorders>
              <w:top w:val="single" w:color="CCCCCC" w:sz="1"/>
              <w:left w:val="single" w:color="CCCCCC" w:sz="1"/>
              <w:bottom w:val="single" w:color="CCCCCC" w:sz="1"/>
              <w:right w:val="single" w:color="CCCCCC" w:sz="1"/>
            </w:tcBorders>
            <w:shd w:fill="CC0000" w:val="clear"/>
            <w:tcMar>
              <w:top w:type="dxa" w:w="80"/>
              <w:left w:type="dxa" w:w="120"/>
              <w:bottom w:type="dxa" w:w="80"/>
              <w:right w:type="dxa" w:w="120"/>
            </w:tcMar>
          </w:tcPr>
          <w:p>
            <w:r>
              <w:rPr>
                <w:rFonts w:ascii="Arial" w:cs="Arial" w:eastAsia="Arial" w:hAnsi="Arial"/>
                <w:b/>
                <w:bCs/>
                <w:color w:val="FFFFFF"/>
                <w:sz w:val="20"/>
                <w:szCs w:val="20"/>
              </w:rPr>
              <w:t xml:space="preserve">Evento Claude Code</w:t>
            </w:r>
          </w:p>
        </w:tc>
        <w:tc>
          <w:tcPr>
            <w:tcW w:type="dxa" w:w="2600"/>
            <w:tcBorders>
              <w:top w:val="single" w:color="CCCCCC" w:sz="1"/>
              <w:left w:val="single" w:color="CCCCCC" w:sz="1"/>
              <w:bottom w:val="single" w:color="CCCCCC" w:sz="1"/>
              <w:right w:val="single" w:color="CCCCCC" w:sz="1"/>
            </w:tcBorders>
            <w:shd w:fill="CC0000" w:val="clear"/>
            <w:tcMar>
              <w:top w:type="dxa" w:w="80"/>
              <w:left w:type="dxa" w:w="120"/>
              <w:bottom w:type="dxa" w:w="80"/>
              <w:right w:type="dxa" w:w="120"/>
            </w:tcMar>
          </w:tcPr>
          <w:p>
            <w:r>
              <w:rPr>
                <w:rFonts w:ascii="Arial" w:cs="Arial" w:eastAsia="Arial" w:hAnsi="Arial"/>
                <w:b/>
                <w:bCs/>
                <w:color w:val="FFFFFF"/>
                <w:sz w:val="20"/>
                <w:szCs w:val="20"/>
              </w:rPr>
              <w:t xml:space="preserve">Subcomando</w:t>
            </w:r>
          </w:p>
        </w:tc>
        <w:tc>
          <w:tcPr>
            <w:tcW w:type="dxa" w:w="4360"/>
            <w:tcBorders>
              <w:top w:val="single" w:color="CCCCCC" w:sz="1"/>
              <w:left w:val="single" w:color="CCCCCC" w:sz="1"/>
              <w:bottom w:val="single" w:color="CCCCCC" w:sz="1"/>
              <w:right w:val="single" w:color="CCCCCC" w:sz="1"/>
            </w:tcBorders>
            <w:shd w:fill="CC0000" w:val="clear"/>
            <w:tcMar>
              <w:top w:type="dxa" w:w="80"/>
              <w:left w:type="dxa" w:w="120"/>
              <w:bottom w:type="dxa" w:w="80"/>
              <w:right w:type="dxa" w:w="120"/>
            </w:tcMar>
          </w:tcPr>
          <w:p>
            <w:r>
              <w:rPr>
                <w:rFonts w:ascii="Arial" w:cs="Arial" w:eastAsia="Arial" w:hAnsi="Arial"/>
                <w:b/>
                <w:bCs/>
                <w:color w:val="FFFFFF"/>
                <w:sz w:val="20"/>
                <w:szCs w:val="20"/>
              </w:rPr>
              <w:t xml:space="preserve">Función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SessionStart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mem hook session-start</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Abre sesión si no hay activa e inyecta contexto previo al arrancar el agente.</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SessionEnd</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mem hook session-end</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Cierra la sesión activa como red de seguridad aunque el modelo no llame end_session.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PreCompact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mem hook pre-compact</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Inyecta instrucciones de recuperación y contexto antes de la compactación.</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UserPromptSubmit</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mem hook user-prompt-submit</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En el primer prompt activa las tools MCP e inyecta el recordatorio del protocolo.</w:t>
            </w:r>
          </w:p>
        </w:tc>
      </w:tr>
    </w:tbl>
    <w:p>
      <w:pPr>
        <w:spacing w:after="0" w:before="160"/>
      </w:pPr>
    </w:p>
    <w:p>
      <w:pPr>
        <w:spacing w:after="80" w:before="180"/>
      </w:pPr>
      <w:r>
        <w:rPr>
          <w:rFonts w:ascii="Arial" w:cs="Arial" w:eastAsia="Arial" w:hAnsi="Arial"/>
          <w:b/>
          <w:bCs/>
          <w:color w:val="CC0000"/>
          <w:sz w:val="24"/>
          <w:szCs w:val="24"/>
        </w:rPr>
        <w:t xml:space="preserve">3.5 Servidor HTTP de Plugins</w:t>
      </w:r>
    </w:p>
    <w:p>
      <w:pPr>
        <w:spacing w:after="60" w:before="60"/>
      </w:pPr>
      <w:r>
        <w:rPr>
          <w:rFonts w:ascii="Arial" w:cs="Arial" w:eastAsia="Arial" w:hAnsi="Arial"/>
          <w:sz w:val="22"/>
          <w:szCs w:val="22"/>
        </w:rPr>
        <w:t xml:space="preserve">mem serve levanta un servidor HTTP en 127.0.0.1:9735 que el plugin de OpenCode auto-inicia para gestionar sesiones y contexto. Los hooks de Claude Code no lo usan — acceden directamente a los repositorios a través del binario.</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5760"/>
      </w:tblGrid>
      <w:tr>
        <w:tc>
          <w:tcPr>
            <w:tcW w:type="dxa" w:w="2200"/>
            <w:tcBorders>
              <w:top w:val="single" w:color="CCCCCC" w:sz="1"/>
              <w:left w:val="single" w:color="CCCCCC" w:sz="1"/>
              <w:bottom w:val="single" w:color="CCCCCC" w:sz="1"/>
              <w:right w:val="single" w:color="CCCCCC" w:sz="1"/>
            </w:tcBorders>
            <w:shd w:fill="CC0000"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1400"/>
            <w:tcBorders>
              <w:top w:val="single" w:color="CCCCCC" w:sz="1"/>
              <w:left w:val="single" w:color="CCCCCC" w:sz="1"/>
              <w:bottom w:val="single" w:color="CCCCCC" w:sz="1"/>
              <w:right w:val="single" w:color="CCCCCC" w:sz="1"/>
            </w:tcBorders>
            <w:shd w:fill="CC0000" w:val="clear"/>
            <w:tcMar>
              <w:top w:type="dxa" w:w="80"/>
              <w:left w:type="dxa" w:w="120"/>
              <w:bottom w:type="dxa" w:w="80"/>
              <w:right w:type="dxa" w:w="120"/>
            </w:tcMar>
          </w:tcPr>
          <w:p>
            <w:r>
              <w:rPr>
                <w:rFonts w:ascii="Arial" w:cs="Arial" w:eastAsia="Arial" w:hAnsi="Arial"/>
                <w:b/>
                <w:bCs/>
                <w:color w:val="FFFFFF"/>
                <w:sz w:val="20"/>
                <w:szCs w:val="20"/>
              </w:rPr>
              <w:t xml:space="preserve">Método</w:t>
            </w:r>
          </w:p>
        </w:tc>
        <w:tc>
          <w:tcPr>
            <w:tcW w:type="dxa" w:w="5760"/>
            <w:tcBorders>
              <w:top w:val="single" w:color="CCCCCC" w:sz="1"/>
              <w:left w:val="single" w:color="CCCCCC" w:sz="1"/>
              <w:bottom w:val="single" w:color="CCCCCC" w:sz="1"/>
              <w:right w:val="single" w:color="CCCCCC" w:sz="1"/>
            </w:tcBorders>
            <w:shd w:fill="CC0000" w:val="clear"/>
            <w:tcMar>
              <w:top w:type="dxa" w:w="80"/>
              <w:left w:type="dxa" w:w="120"/>
              <w:bottom w:type="dxa" w:w="80"/>
              <w:right w:type="dxa" w:w="120"/>
            </w:tcMar>
          </w:tcPr>
          <w:p>
            <w:r>
              <w:rPr>
                <w:rFonts w:ascii="Arial" w:cs="Arial" w:eastAsia="Arial" w:hAnsi="Arial"/>
                <w:b/>
                <w:bCs/>
                <w:color w:val="FFFFFF"/>
                <w:sz w:val="20"/>
                <w:szCs w:val="20"/>
              </w:rPr>
              <w:t xml:space="preserve">Descripción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/session/start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POST</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Crea (o reusa) la sesión activa del proyecto.</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/session/end</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POST</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Cierra la sesión activa con {"summary": "..."}</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/context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GET</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Retorna el contexto markdown de sesiones previas.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/health</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GET</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Healthcheck: {"status":"ok","project":"..."}</w:t>
            </w:r>
          </w:p>
        </w:tc>
      </w:tr>
    </w:tbl>
    <w:p>
      <w:pPr>
        <w:pBdr>
          <w:bottom w:val="single" w:color="CC0000" w:sz="4"/>
        </w:pBdr>
        <w:spacing w:after="120" w:before="120"/>
      </w:pPr>
    </w:p>
    <w:p>
      <w:pPr>
        <w:shd w:fill="CC0000" w:val="clear"/>
        <w:spacing w:after="120" w:before="240"/>
        <w:ind w:left="120" w:right="120"/>
      </w:pPr>
      <w:r>
        <w:rPr>
          <w:rFonts w:ascii="Arial" w:cs="Arial" w:eastAsia="Arial" w:hAnsi="Arial"/>
          <w:b/>
          <w:bCs/>
          <w:color w:val="FFFFFF"/>
          <w:sz w:val="28"/>
          <w:szCs w:val="28"/>
        </w:rPr>
        <w:t xml:space="preserve">4. LENGUAJES Y TECNOLOGÍAS UTILIZADAS</w:t>
      </w:r>
    </w:p>
    <w:p>
      <w:pPr>
        <w:spacing w:after="0" w:before="120"/>
      </w:pPr>
    </w:p>
    <w:p>
      <w:pPr>
        <w:spacing w:after="80" w:before="180"/>
      </w:pPr>
      <w:r>
        <w:rPr>
          <w:rFonts w:ascii="Arial" w:cs="Arial" w:eastAsia="Arial" w:hAnsi="Arial"/>
          <w:b/>
          <w:bCs/>
          <w:color w:val="CC0000"/>
          <w:sz w:val="24"/>
          <w:szCs w:val="24"/>
        </w:rPr>
        <w:t xml:space="preserve">4.1 Lenguaje Principal: Go</w:t>
      </w:r>
    </w:p>
    <w:p>
      <w:pPr>
        <w:spacing w:after="60" w:before="60"/>
      </w:pPr>
      <w:r>
        <w:rPr>
          <w:rFonts w:ascii="Arial" w:cs="Arial" w:eastAsia="Arial" w:hAnsi="Arial"/>
          <w:sz w:val="22"/>
          <w:szCs w:val="22"/>
        </w:rPr>
        <w:t xml:space="preserve">Go (Golang) versión 1.25+ es el lenguaje de implementación de todo el proyecto. La elección se fundamenta en tres pilares: compilación cruzada nativa para todos los sistemas operativos objetivo (Linux, macOS, Windows) sin necesitar toolchains adicionales, binarios autocontenidos sin dependencias runtime, y rendimiento superior al de lenguajes interpretados para operaciones de I/O frecuentes como la lectura de SQLite.</w:t>
      </w:r>
    </w:p>
    <w:p>
      <w:pPr>
        <w:spacing w:after="0" w:before="80"/>
      </w:pPr>
    </w:p>
    <w:p>
      <w:pPr>
        <w:spacing w:after="60" w:before="60"/>
      </w:pPr>
      <w:r>
        <w:rPr>
          <w:rFonts w:ascii="Arial" w:cs="Arial" w:eastAsia="Arial" w:hAnsi="Arial"/>
          <w:sz w:val="22"/>
          <w:szCs w:val="22"/>
        </w:rPr>
        <w:t xml:space="preserve">El flag CGO_ENABLED=0 es fundamental: desactiva completamente el compilador C, lo que permite compilar para múltiples plataformas desde cualquier máquina sin necesitar gcc ni libsqlite3 instalados en el sistema.</w:t>
      </w:r>
    </w:p>
    <w:p>
      <w:pPr>
        <w:spacing w:after="0" w:before="120"/>
      </w:pPr>
    </w:p>
    <w:p>
      <w:pPr>
        <w:spacing w:after="80" w:before="180"/>
      </w:pPr>
      <w:r>
        <w:rPr>
          <w:rFonts w:ascii="Arial" w:cs="Arial" w:eastAsia="Arial" w:hAnsi="Arial"/>
          <w:b/>
          <w:bCs/>
          <w:color w:val="CC0000"/>
          <w:sz w:val="24"/>
          <w:szCs w:val="24"/>
        </w:rPr>
        <w:t xml:space="preserve">4.2 Stack de Dependencias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1800"/>
        <w:gridCol w:w="4000"/>
      </w:tblGrid>
      <w:tr>
        <w:tc>
          <w:tcPr>
            <w:tcW w:type="dxa" w:w="2400"/>
            <w:tcBorders>
              <w:top w:val="single" w:color="CCCCCC" w:sz="1"/>
              <w:left w:val="single" w:color="CCCCCC" w:sz="1"/>
              <w:bottom w:val="single" w:color="CCCCCC" w:sz="1"/>
              <w:right w:val="single" w:color="CCCCCC" w:sz="1"/>
            </w:tcBorders>
            <w:shd w:fill="CC0000" w:val="clear"/>
            <w:tcMar>
              <w:top w:type="dxa" w:w="80"/>
              <w:left w:type="dxa" w:w="120"/>
              <w:bottom w:type="dxa" w:w="80"/>
              <w:right w:type="dxa" w:w="120"/>
            </w:tcMar>
          </w:tcPr>
          <w:p>
            <w:r>
              <w:rPr>
                <w:rFonts w:ascii="Arial" w:cs="Arial" w:eastAsia="Arial" w:hAnsi="Arial"/>
                <w:b/>
                <w:bCs/>
                <w:color w:val="FFFFFF"/>
                <w:sz w:val="20"/>
                <w:szCs w:val="20"/>
              </w:rPr>
              <w:t xml:space="preserve">Librería</w:t>
            </w:r>
          </w:p>
        </w:tc>
        <w:tc>
          <w:tcPr>
            <w:tcW w:type="dxa" w:w="1200"/>
            <w:tcBorders>
              <w:top w:val="single" w:color="CCCCCC" w:sz="1"/>
              <w:left w:val="single" w:color="CCCCCC" w:sz="1"/>
              <w:bottom w:val="single" w:color="CCCCCC" w:sz="1"/>
              <w:right w:val="single" w:color="CCCCCC" w:sz="1"/>
            </w:tcBorders>
            <w:shd w:fill="CC0000" w:val="clear"/>
            <w:tcMar>
              <w:top w:type="dxa" w:w="80"/>
              <w:left w:type="dxa" w:w="120"/>
              <w:bottom w:type="dxa" w:w="80"/>
              <w:right w:type="dxa" w:w="120"/>
            </w:tcMar>
          </w:tcPr>
          <w:p>
            <w:r>
              <w:rPr>
                <w:rFonts w:ascii="Arial" w:cs="Arial" w:eastAsia="Arial" w:hAnsi="Arial"/>
                <w:b/>
                <w:bCs/>
                <w:color w:val="FFFFFF"/>
                <w:sz w:val="20"/>
                <w:szCs w:val="20"/>
              </w:rPr>
              <w:t xml:space="preserve">Versión</w:t>
            </w:r>
          </w:p>
        </w:tc>
        <w:tc>
          <w:tcPr>
            <w:tcW w:type="dxa" w:w="1800"/>
            <w:tcBorders>
              <w:top w:val="single" w:color="CCCCCC" w:sz="1"/>
              <w:left w:val="single" w:color="CCCCCC" w:sz="1"/>
              <w:bottom w:val="single" w:color="CCCCCC" w:sz="1"/>
              <w:right w:val="single" w:color="CCCCCC" w:sz="1"/>
            </w:tcBorders>
            <w:shd w:fill="CC0000" w:val="clear"/>
            <w:tcMar>
              <w:top w:type="dxa" w:w="80"/>
              <w:left w:type="dxa" w:w="120"/>
              <w:bottom w:type="dxa" w:w="80"/>
              <w:right w:type="dxa" w:w="120"/>
            </w:tcMar>
          </w:tcPr>
          <w:p>
            <w:r>
              <w:rPr>
                <w:rFonts w:ascii="Arial" w:cs="Arial" w:eastAsia="Arial" w:hAnsi="Arial"/>
                <w:b/>
                <w:bCs/>
                <w:color w:val="FFFFFF"/>
                <w:sz w:val="20"/>
                <w:szCs w:val="20"/>
              </w:rPr>
              <w:t xml:space="preserve">Propósito</w:t>
            </w:r>
          </w:p>
        </w:tc>
        <w:tc>
          <w:tcPr>
            <w:tcW w:type="dxa" w:w="4000"/>
            <w:tcBorders>
              <w:top w:val="single" w:color="CCCCCC" w:sz="1"/>
              <w:left w:val="single" w:color="CCCCCC" w:sz="1"/>
              <w:bottom w:val="single" w:color="CCCCCC" w:sz="1"/>
              <w:right w:val="single" w:color="CCCCCC" w:sz="1"/>
            </w:tcBorders>
            <w:shd w:fill="CC0000" w:val="clear"/>
            <w:tcMar>
              <w:top w:type="dxa" w:w="80"/>
              <w:left w:type="dxa" w:w="120"/>
              <w:bottom w:type="dxa" w:w="80"/>
              <w:right w:type="dxa" w:w="120"/>
            </w:tcMar>
          </w:tcPr>
          <w:p>
            <w:r>
              <w:rPr>
                <w:rFonts w:ascii="Arial" w:cs="Arial" w:eastAsia="Arial" w:hAnsi="Arial"/>
                <w:b/>
                <w:bCs/>
                <w:color w:val="FFFFFF"/>
                <w:sz w:val="20"/>
                <w:szCs w:val="20"/>
              </w:rPr>
              <w:t xml:space="preserve">Justificación Técnica</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modernc.org/sqlite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v1.52.0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Base de datos embebida</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SQLite puro en Go, sin CGO. Permite compilación cruzada sin dependencias de C.</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charmbracelet/bubbletea</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v0.26.1</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Framework TUI</w:t>
            </w:r>
          </w:p>
        </w:tc>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Arquitectura Elm-style (Modelo/Vista/Actualización). Manejo declarativo del estado de UI.</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charmbracelet/bubbles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v0.18.0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Componentes TUI</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Widgets reutilizables: textinput para formularios, viewport para contenido largo.</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charmbracelet/lipgloss</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v1.0.0</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Estilos de terminal</w:t>
            </w:r>
          </w:p>
        </w:tc>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DSL para colores y layout en terminal. Soporte automático para temas light/dark.</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modelcontextprotocol/go-sdk</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v1.6.1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SDK oficial MCP</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Implementación oficial del protocolo MCP. Gestión de tools, resources y transporte stdio.</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dustin/go-humanize</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v1.0.1</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Formateo legible</w:t>
            </w:r>
          </w:p>
        </w:tc>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Formateo de tamaños de archivo y fechas en lenguaje natural para la TUI y CLI.</w:t>
            </w:r>
          </w:p>
        </w:tc>
      </w:tr>
    </w:tbl>
    <w:p>
      <w:pPr>
        <w:spacing w:after="0" w:before="160"/>
      </w:pPr>
    </w:p>
    <w:p>
      <w:pPr>
        <w:spacing w:after="80" w:before="180"/>
      </w:pPr>
      <w:r>
        <w:rPr>
          <w:rFonts w:ascii="Arial" w:cs="Arial" w:eastAsia="Arial" w:hAnsi="Arial"/>
          <w:b/>
          <w:bCs/>
          <w:color w:val="CC0000"/>
          <w:sz w:val="24"/>
          <w:szCs w:val="24"/>
        </w:rPr>
        <w:t xml:space="preserve">4.3 Base de Datos: SQLite con WAL Mode</w:t>
      </w:r>
    </w:p>
    <w:p>
      <w:pPr>
        <w:spacing w:after="60" w:before="60"/>
      </w:pPr>
      <w:r>
        <w:rPr>
          <w:rFonts w:ascii="Arial" w:cs="Arial" w:eastAsia="Arial" w:hAnsi="Arial"/>
          <w:sz w:val="22"/>
          <w:szCs w:val="22"/>
        </w:rPr>
        <w:t xml:space="preserve">SQLite es la base de datos embebida elegida por su naturaleza autocontenida (el archivo .memory/mem.db se puede copiar entre máquinas sin migraciones), su soporte nativo de WAL mode (Write-Ahead Logging) para mejor concurrencia, y su madurez probada para datos persistentes de proyectos individuales.</w:t>
      </w:r>
    </w:p>
    <w:p>
      <w:pPr>
        <w:spacing w:after="0" w:before="80"/>
      </w:pPr>
    </w:p>
    <w:p>
      <w:pPr>
        <w:spacing w:after="60" w:before="60"/>
      </w:pPr>
      <w:r>
        <w:rPr>
          <w:rFonts w:ascii="Arial" w:cs="Arial" w:eastAsia="Arial" w:hAnsi="Arial"/>
          <w:sz w:val="22"/>
          <w:szCs w:val="22"/>
        </w:rPr>
        <w:t xml:space="preserve">Configuración de conexión utilizada: WAL mode activo, busy timeout de 5 segundos para manejar accesos concurrentes, y timestamps en UTC-5 (Colombia) usando datetime('now', '-5 hours').</w:t>
      </w:r>
    </w:p>
    <w:p>
      <w:pPr>
        <w:spacing w:after="0" w:before="120"/>
      </w:pPr>
    </w:p>
    <w:p>
      <w:pPr>
        <w:spacing w:after="80" w:before="180"/>
      </w:pPr>
      <w:r>
        <w:rPr>
          <w:rFonts w:ascii="Arial" w:cs="Arial" w:eastAsia="Arial" w:hAnsi="Arial"/>
          <w:b/>
          <w:bCs/>
          <w:color w:val="CC0000"/>
          <w:sz w:val="24"/>
          <w:szCs w:val="24"/>
        </w:rPr>
        <w:t xml:space="preserve">4.4 Protocolo MCP (Model Context Protocol)</w:t>
      </w:r>
    </w:p>
    <w:p>
      <w:pPr>
        <w:spacing w:after="60" w:before="60"/>
      </w:pPr>
      <w:r>
        <w:rPr>
          <w:rFonts w:ascii="Arial" w:cs="Arial" w:eastAsia="Arial" w:hAnsi="Arial"/>
          <w:sz w:val="22"/>
          <w:szCs w:val="22"/>
        </w:rPr>
        <w:t xml:space="preserve">MCP es un protocolo estándar abierto para la integración entre agentes AI y herramientas externas. Funciona sobre transporte stdio (JSON-RPC sobre stdin/stdout), lo que permite que cualquier agente compatible lance mem mcp como subproceso y tenga acceso a las 7 herramientas de memoria sin configuración adicional.</w:t>
      </w:r>
    </w:p>
    <w:p>
      <w:pPr>
        <w:spacing w:after="0" w:before="80"/>
      </w:pPr>
    </w:p>
    <w:p>
      <w:pPr>
        <w:spacing w:after="60" w:before="60"/>
      </w:pPr>
      <w:r>
        <w:rPr>
          <w:rFonts w:ascii="Arial" w:cs="Arial" w:eastAsia="Arial" w:hAnsi="Arial"/>
          <w:sz w:val="22"/>
          <w:szCs w:val="22"/>
        </w:rPr>
        <w:t xml:space="preserve">El flag --root se pasa explícitamente en los args de cada configuración MCP generada por mem setup-mcp, garantizando que el servidor resuelva el proyecto correcto independientemente del directorio de trabajo del agente.</w:t>
      </w:r>
    </w:p>
    <w:p>
      <w:pPr>
        <w:pBdr>
          <w:bottom w:val="single" w:color="CC0000" w:sz="4"/>
        </w:pBdr>
        <w:spacing w:after="120" w:before="120"/>
      </w:pPr>
    </w:p>
    <w:p>
      <w:pPr>
        <w:shd w:fill="CC0000" w:val="clear"/>
        <w:spacing w:after="120" w:before="240"/>
        <w:ind w:left="120" w:right="120"/>
      </w:pPr>
      <w:r>
        <w:rPr>
          <w:rFonts w:ascii="Arial" w:cs="Arial" w:eastAsia="Arial" w:hAnsi="Arial"/>
          <w:b/>
          <w:bCs/>
          <w:color w:val="FFFFFF"/>
          <w:sz w:val="28"/>
          <w:szCs w:val="28"/>
        </w:rPr>
        <w:t xml:space="preserve">5. MODELO DE DATOS</w:t>
      </w:r>
    </w:p>
    <w:p>
      <w:pPr>
        <w:spacing w:after="0" w:before="120"/>
      </w:pPr>
    </w:p>
    <w:p>
      <w:pPr>
        <w:spacing w:after="80" w:before="180"/>
      </w:pPr>
      <w:r>
        <w:rPr>
          <w:rFonts w:ascii="Arial" w:cs="Arial" w:eastAsia="Arial" w:hAnsi="Arial"/>
          <w:b/>
          <w:bCs/>
          <w:color w:val="CC0000"/>
          <w:sz w:val="24"/>
          <w:szCs w:val="24"/>
        </w:rPr>
        <w:t xml:space="preserve">5.1 Tabla: memories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5560"/>
      </w:tblGrid>
      <w:tr>
        <w:tc>
          <w:tcPr>
            <w:tcW w:type="dxa" w:w="2200"/>
            <w:tcBorders>
              <w:top w:val="single" w:color="CCCCCC" w:sz="1"/>
              <w:left w:val="single" w:color="CCCCCC" w:sz="1"/>
              <w:bottom w:val="single" w:color="CCCCCC" w:sz="1"/>
              <w:right w:val="single" w:color="CCCCCC" w:sz="1"/>
            </w:tcBorders>
            <w:shd w:fill="CC0000" w:val="clear"/>
            <w:tcMar>
              <w:top w:type="dxa" w:w="80"/>
              <w:left w:type="dxa" w:w="120"/>
              <w:bottom w:type="dxa" w:w="80"/>
              <w:right w:type="dxa" w:w="120"/>
            </w:tcMar>
          </w:tcPr>
          <w:p>
            <w:r>
              <w:rPr>
                <w:rFonts w:ascii="Arial" w:cs="Arial" w:eastAsia="Arial" w:hAnsi="Arial"/>
                <w:b/>
                <w:bCs/>
                <w:color w:val="FFFFFF"/>
                <w:sz w:val="20"/>
                <w:szCs w:val="20"/>
              </w:rPr>
              <w:t xml:space="preserve">Columna</w:t>
            </w:r>
          </w:p>
        </w:tc>
        <w:tc>
          <w:tcPr>
            <w:tcW w:type="dxa" w:w="1600"/>
            <w:tcBorders>
              <w:top w:val="single" w:color="CCCCCC" w:sz="1"/>
              <w:left w:val="single" w:color="CCCCCC" w:sz="1"/>
              <w:bottom w:val="single" w:color="CCCCCC" w:sz="1"/>
              <w:right w:val="single" w:color="CCCCCC" w:sz="1"/>
            </w:tcBorders>
            <w:shd w:fill="CC0000" w:val="clear"/>
            <w:tcMar>
              <w:top w:type="dxa" w:w="80"/>
              <w:left w:type="dxa" w:w="120"/>
              <w:bottom w:type="dxa" w:w="80"/>
              <w:right w:type="dxa" w:w="120"/>
            </w:tcMar>
          </w:tcPr>
          <w:p>
            <w:r>
              <w:rPr>
                <w:rFonts w:ascii="Arial" w:cs="Arial" w:eastAsia="Arial" w:hAnsi="Arial"/>
                <w:b/>
                <w:bCs/>
                <w:color w:val="FFFFFF"/>
                <w:sz w:val="20"/>
                <w:szCs w:val="20"/>
              </w:rPr>
              <w:t xml:space="preserve">Tipo</w:t>
            </w:r>
          </w:p>
        </w:tc>
        <w:tc>
          <w:tcPr>
            <w:tcW w:type="dxa" w:w="5560"/>
            <w:tcBorders>
              <w:top w:val="single" w:color="CCCCCC" w:sz="1"/>
              <w:left w:val="single" w:color="CCCCCC" w:sz="1"/>
              <w:bottom w:val="single" w:color="CCCCCC" w:sz="1"/>
              <w:right w:val="single" w:color="CCCCCC" w:sz="1"/>
            </w:tcBorders>
            <w:shd w:fill="CC0000" w:val="clear"/>
            <w:tcMar>
              <w:top w:type="dxa" w:w="80"/>
              <w:left w:type="dxa" w:w="120"/>
              <w:bottom w:type="dxa" w:w="80"/>
              <w:right w:type="dxa" w:w="120"/>
            </w:tcMar>
          </w:tcPr>
          <w:p>
            <w:r>
              <w:rPr>
                <w:rFonts w:ascii="Arial" w:cs="Arial" w:eastAsia="Arial" w:hAnsi="Arial"/>
                <w:b/>
                <w:bCs/>
                <w:color w:val="FFFFFF"/>
                <w:sz w:val="20"/>
                <w:szCs w:val="20"/>
              </w:rPr>
              <w:t xml:space="preserve">Descripción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INTEGER PK</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Identificador auto-incremental único.</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project</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TEXT</w:t>
            </w:r>
          </w:p>
        </w:tc>
        <w:tc>
          <w:tcPr>
            <w:tcW w:type="dxa" w:w="5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Nombre del proyecto (basename del directorio raíz).</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session_id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TEXT?</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UUID de la sesión asociada (opcional).</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type</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TEXT</w:t>
            </w:r>
          </w:p>
        </w:tc>
        <w:tc>
          <w:tcPr>
            <w:tcW w:type="dxa" w:w="5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Tipo: architecture, decision, pattern, bugfix, learning, discovery.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title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TEXT</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Título descriptivo de la memoria (indexado para búsqueda).</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content</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TEXT</w:t>
            </w:r>
          </w:p>
        </w:tc>
        <w:tc>
          <w:tcPr>
            <w:tcW w:type="dxa" w:w="5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Cuerpo completo del aprendizaje o decisión.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filepath</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TEXT?</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Ruta del archivo relacionado (opcional).</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created_at</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TEXT</w:t>
            </w:r>
          </w:p>
        </w:tc>
        <w:tc>
          <w:tcPr>
            <w:tcW w:type="dxa" w:w="5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Timestamp de creación en UTC-5 (Colombia).</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updated_at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TEXT</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Timestamp de última actualización en UTC-5.</w:t>
            </w:r>
          </w:p>
        </w:tc>
      </w:tr>
    </w:tbl>
    <w:p>
      <w:pPr>
        <w:spacing w:after="0" w:before="160"/>
      </w:pPr>
    </w:p>
    <w:p>
      <w:pPr>
        <w:spacing w:after="80" w:before="180"/>
      </w:pPr>
      <w:r>
        <w:rPr>
          <w:rFonts w:ascii="Arial" w:cs="Arial" w:eastAsia="Arial" w:hAnsi="Arial"/>
          <w:b/>
          <w:bCs/>
          <w:color w:val="CC0000"/>
          <w:sz w:val="24"/>
          <w:szCs w:val="24"/>
        </w:rPr>
        <w:t xml:space="preserve">5.2 Tabla: sessions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5560"/>
      </w:tblGrid>
      <w:tr>
        <w:tc>
          <w:tcPr>
            <w:tcW w:type="dxa" w:w="2200"/>
            <w:tcBorders>
              <w:top w:val="single" w:color="CCCCCC" w:sz="1"/>
              <w:left w:val="single" w:color="CCCCCC" w:sz="1"/>
              <w:bottom w:val="single" w:color="CCCCCC" w:sz="1"/>
              <w:right w:val="single" w:color="CCCCCC" w:sz="1"/>
            </w:tcBorders>
            <w:shd w:fill="CC0000" w:val="clear"/>
            <w:tcMar>
              <w:top w:type="dxa" w:w="80"/>
              <w:left w:type="dxa" w:w="120"/>
              <w:bottom w:type="dxa" w:w="80"/>
              <w:right w:type="dxa" w:w="120"/>
            </w:tcMar>
          </w:tcPr>
          <w:p>
            <w:r>
              <w:rPr>
                <w:rFonts w:ascii="Arial" w:cs="Arial" w:eastAsia="Arial" w:hAnsi="Arial"/>
                <w:b/>
                <w:bCs/>
                <w:color w:val="FFFFFF"/>
                <w:sz w:val="20"/>
                <w:szCs w:val="20"/>
              </w:rPr>
              <w:t xml:space="preserve">Columna</w:t>
            </w:r>
          </w:p>
        </w:tc>
        <w:tc>
          <w:tcPr>
            <w:tcW w:type="dxa" w:w="1600"/>
            <w:tcBorders>
              <w:top w:val="single" w:color="CCCCCC" w:sz="1"/>
              <w:left w:val="single" w:color="CCCCCC" w:sz="1"/>
              <w:bottom w:val="single" w:color="CCCCCC" w:sz="1"/>
              <w:right w:val="single" w:color="CCCCCC" w:sz="1"/>
            </w:tcBorders>
            <w:shd w:fill="CC0000" w:val="clear"/>
            <w:tcMar>
              <w:top w:type="dxa" w:w="80"/>
              <w:left w:type="dxa" w:w="120"/>
              <w:bottom w:type="dxa" w:w="80"/>
              <w:right w:type="dxa" w:w="120"/>
            </w:tcMar>
          </w:tcPr>
          <w:p>
            <w:r>
              <w:rPr>
                <w:rFonts w:ascii="Arial" w:cs="Arial" w:eastAsia="Arial" w:hAnsi="Arial"/>
                <w:b/>
                <w:bCs/>
                <w:color w:val="FFFFFF"/>
                <w:sz w:val="20"/>
                <w:szCs w:val="20"/>
              </w:rPr>
              <w:t xml:space="preserve">Tipo</w:t>
            </w:r>
          </w:p>
        </w:tc>
        <w:tc>
          <w:tcPr>
            <w:tcW w:type="dxa" w:w="5560"/>
            <w:tcBorders>
              <w:top w:val="single" w:color="CCCCCC" w:sz="1"/>
              <w:left w:val="single" w:color="CCCCCC" w:sz="1"/>
              <w:bottom w:val="single" w:color="CCCCCC" w:sz="1"/>
              <w:right w:val="single" w:color="CCCCCC" w:sz="1"/>
            </w:tcBorders>
            <w:shd w:fill="CC0000" w:val="clear"/>
            <w:tcMar>
              <w:top w:type="dxa" w:w="80"/>
              <w:left w:type="dxa" w:w="120"/>
              <w:bottom w:type="dxa" w:w="80"/>
              <w:right w:type="dxa" w:w="120"/>
            </w:tcMar>
          </w:tcPr>
          <w:p>
            <w:r>
              <w:rPr>
                <w:rFonts w:ascii="Arial" w:cs="Arial" w:eastAsia="Arial" w:hAnsi="Arial"/>
                <w:b/>
                <w:bCs/>
                <w:color w:val="FFFFFF"/>
                <w:sz w:val="20"/>
                <w:szCs w:val="20"/>
              </w:rPr>
              <w:t xml:space="preserve">Descripción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TEXT PK</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UUID v4 generado con hex aleatorio de 16 bytes.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project</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TEXT</w:t>
            </w:r>
          </w:p>
        </w:tc>
        <w:tc>
          <w:tcPr>
            <w:tcW w:type="dxa" w:w="5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Nombre del proyecto al que pertenece la sesión.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summary</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TEXT</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Resumen de la sesión (puede ser vacío hasta end_session).</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created_at</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TEXT</w:t>
            </w:r>
          </w:p>
        </w:tc>
        <w:tc>
          <w:tcPr>
            <w:tcW w:type="dxa" w:w="5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Inicio de la sesión en UTC-5.</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ended_at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TEXT?</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Fin de la sesión en UTC-5. NULL si la sesión está activa.</w:t>
            </w:r>
          </w:p>
        </w:tc>
      </w:tr>
    </w:tbl>
    <w:p>
      <w:pPr>
        <w:spacing w:after="0" w:before="160"/>
      </w:pPr>
    </w:p>
    <w:p>
      <w:pPr>
        <w:spacing w:after="80" w:before="180"/>
      </w:pPr>
      <w:r>
        <w:rPr>
          <w:rFonts w:ascii="Arial" w:cs="Arial" w:eastAsia="Arial" w:hAnsi="Arial"/>
          <w:b/>
          <w:bCs/>
          <w:color w:val="CC0000"/>
          <w:sz w:val="24"/>
          <w:szCs w:val="24"/>
        </w:rPr>
        <w:t xml:space="preserve">5.3 Tabla: memory_relations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5560"/>
      </w:tblGrid>
      <w:tr>
        <w:tc>
          <w:tcPr>
            <w:tcW w:type="dxa" w:w="2200"/>
            <w:tcBorders>
              <w:top w:val="single" w:color="CCCCCC" w:sz="1"/>
              <w:left w:val="single" w:color="CCCCCC" w:sz="1"/>
              <w:bottom w:val="single" w:color="CCCCCC" w:sz="1"/>
              <w:right w:val="single" w:color="CCCCCC" w:sz="1"/>
            </w:tcBorders>
            <w:shd w:fill="CC0000" w:val="clear"/>
            <w:tcMar>
              <w:top w:type="dxa" w:w="80"/>
              <w:left w:type="dxa" w:w="120"/>
              <w:bottom w:type="dxa" w:w="80"/>
              <w:right w:type="dxa" w:w="120"/>
            </w:tcMar>
          </w:tcPr>
          <w:p>
            <w:r>
              <w:rPr>
                <w:rFonts w:ascii="Arial" w:cs="Arial" w:eastAsia="Arial" w:hAnsi="Arial"/>
                <w:b/>
                <w:bCs/>
                <w:color w:val="FFFFFF"/>
                <w:sz w:val="20"/>
                <w:szCs w:val="20"/>
              </w:rPr>
              <w:t xml:space="preserve">Columna</w:t>
            </w:r>
          </w:p>
        </w:tc>
        <w:tc>
          <w:tcPr>
            <w:tcW w:type="dxa" w:w="1600"/>
            <w:tcBorders>
              <w:top w:val="single" w:color="CCCCCC" w:sz="1"/>
              <w:left w:val="single" w:color="CCCCCC" w:sz="1"/>
              <w:bottom w:val="single" w:color="CCCCCC" w:sz="1"/>
              <w:right w:val="single" w:color="CCCCCC" w:sz="1"/>
            </w:tcBorders>
            <w:shd w:fill="CC0000" w:val="clear"/>
            <w:tcMar>
              <w:top w:type="dxa" w:w="80"/>
              <w:left w:type="dxa" w:w="120"/>
              <w:bottom w:type="dxa" w:w="80"/>
              <w:right w:type="dxa" w:w="120"/>
            </w:tcMar>
          </w:tcPr>
          <w:p>
            <w:r>
              <w:rPr>
                <w:rFonts w:ascii="Arial" w:cs="Arial" w:eastAsia="Arial" w:hAnsi="Arial"/>
                <w:b/>
                <w:bCs/>
                <w:color w:val="FFFFFF"/>
                <w:sz w:val="20"/>
                <w:szCs w:val="20"/>
              </w:rPr>
              <w:t xml:space="preserve">Tipo</w:t>
            </w:r>
          </w:p>
        </w:tc>
        <w:tc>
          <w:tcPr>
            <w:tcW w:type="dxa" w:w="5560"/>
            <w:tcBorders>
              <w:top w:val="single" w:color="CCCCCC" w:sz="1"/>
              <w:left w:val="single" w:color="CCCCCC" w:sz="1"/>
              <w:bottom w:val="single" w:color="CCCCCC" w:sz="1"/>
              <w:right w:val="single" w:color="CCCCCC" w:sz="1"/>
            </w:tcBorders>
            <w:shd w:fill="CC0000" w:val="clear"/>
            <w:tcMar>
              <w:top w:type="dxa" w:w="80"/>
              <w:left w:type="dxa" w:w="120"/>
              <w:bottom w:type="dxa" w:w="80"/>
              <w:right w:type="dxa" w:w="120"/>
            </w:tcMar>
          </w:tcPr>
          <w:p>
            <w:r>
              <w:rPr>
                <w:rFonts w:ascii="Arial" w:cs="Arial" w:eastAsia="Arial" w:hAnsi="Arial"/>
                <w:b/>
                <w:bCs/>
                <w:color w:val="FFFFFF"/>
                <w:sz w:val="20"/>
                <w:szCs w:val="20"/>
              </w:rPr>
              <w:t xml:space="preserve">Descripción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INTEGER PK</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Identificador auto-incremental.</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project</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TEXT</w:t>
            </w:r>
          </w:p>
        </w:tc>
        <w:tc>
          <w:tcPr>
            <w:tcW w:type="dxa" w:w="5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Nombre del proyecto.</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memory_id_a</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INTEGER</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FK → memories(id). Primera memoria del par.</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memory_id_b</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INTEGER</w:t>
            </w:r>
          </w:p>
        </w:tc>
        <w:tc>
          <w:tcPr>
            <w:tcW w:type="dxa" w:w="5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FK → memories(id). Segunda memoria del par.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relation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TEXT</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Tipo: related, compatible, scoped, conflicts_with, supersedes, not_conflict.</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confidence</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REAL</w:t>
            </w:r>
          </w:p>
        </w:tc>
        <w:tc>
          <w:tcPr>
            <w:tcW w:type="dxa" w:w="5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Confianza del veredicto semántico (0.0 a 1.0).</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reasoning</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TEXT</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Razonamiento textual del veredicto.</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created_at</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TEXT</w:t>
            </w:r>
          </w:p>
        </w:tc>
        <w:tc>
          <w:tcPr>
            <w:tcW w:type="dxa" w:w="5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Timestamp de creación en UTC-5.</w:t>
            </w:r>
          </w:p>
        </w:tc>
      </w:tr>
    </w:tbl>
    <w:p>
      <w:pPr>
        <w:spacing w:after="0" w:before="160"/>
      </w:pPr>
    </w:p>
    <w:p>
      <w:pPr>
        <w:spacing w:after="80" w:before="180"/>
      </w:pPr>
      <w:r>
        <w:rPr>
          <w:rFonts w:ascii="Arial" w:cs="Arial" w:eastAsia="Arial" w:hAnsi="Arial"/>
          <w:b/>
          <w:bCs/>
          <w:color w:val="CC0000"/>
          <w:sz w:val="24"/>
          <w:szCs w:val="24"/>
        </w:rPr>
        <w:t xml:space="preserve">5.4 Tipos de Memoria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800"/>
        <w:gridCol w:w="6560"/>
      </w:tblGrid>
      <w:tr>
        <w:tc>
          <w:tcPr>
            <w:tcW w:type="dxa" w:w="2000"/>
            <w:tcBorders>
              <w:top w:val="single" w:color="CCCCCC" w:sz="1"/>
              <w:left w:val="single" w:color="CCCCCC" w:sz="1"/>
              <w:bottom w:val="single" w:color="CCCCCC" w:sz="1"/>
              <w:right w:val="single" w:color="CCCCCC" w:sz="1"/>
            </w:tcBorders>
            <w:shd w:fill="CC0000" w:val="clear"/>
            <w:tcMar>
              <w:top w:type="dxa" w:w="80"/>
              <w:left w:type="dxa" w:w="120"/>
              <w:bottom w:type="dxa" w:w="80"/>
              <w:right w:type="dxa" w:w="120"/>
            </w:tcMar>
          </w:tcPr>
          <w:p>
            <w:r>
              <w:rPr>
                <w:rFonts w:ascii="Arial" w:cs="Arial" w:eastAsia="Arial" w:hAnsi="Arial"/>
                <w:b/>
                <w:bCs/>
                <w:color w:val="FFFFFF"/>
                <w:sz w:val="20"/>
                <w:szCs w:val="20"/>
              </w:rPr>
              <w:t xml:space="preserve">Tipo</w:t>
            </w:r>
          </w:p>
        </w:tc>
        <w:tc>
          <w:tcPr>
            <w:tcW w:type="dxa" w:w="800"/>
            <w:tcBorders>
              <w:top w:val="single" w:color="CCCCCC" w:sz="1"/>
              <w:left w:val="single" w:color="CCCCCC" w:sz="1"/>
              <w:bottom w:val="single" w:color="CCCCCC" w:sz="1"/>
              <w:right w:val="single" w:color="CCCCCC" w:sz="1"/>
            </w:tcBorders>
            <w:shd w:fill="CC0000" w:val="clear"/>
            <w:tcMar>
              <w:top w:type="dxa" w:w="80"/>
              <w:left w:type="dxa" w:w="120"/>
              <w:bottom w:type="dxa" w:w="80"/>
              <w:right w:type="dxa" w:w="120"/>
            </w:tcMar>
          </w:tcPr>
          <w:p>
            <w:r>
              <w:rPr>
                <w:rFonts w:ascii="Arial" w:cs="Arial" w:eastAsia="Arial" w:hAnsi="Arial"/>
                <w:b/>
                <w:bCs/>
                <w:color w:val="FFFFFF"/>
                <w:sz w:val="20"/>
                <w:szCs w:val="20"/>
              </w:rPr>
              <w:t xml:space="preserve">Icono</w:t>
            </w:r>
          </w:p>
        </w:tc>
        <w:tc>
          <w:tcPr>
            <w:tcW w:type="dxa" w:w="6560"/>
            <w:tcBorders>
              <w:top w:val="single" w:color="CCCCCC" w:sz="1"/>
              <w:left w:val="single" w:color="CCCCCC" w:sz="1"/>
              <w:bottom w:val="single" w:color="CCCCCC" w:sz="1"/>
              <w:right w:val="single" w:color="CCCCCC" w:sz="1"/>
            </w:tcBorders>
            <w:shd w:fill="CC0000" w:val="clear"/>
            <w:tcMar>
              <w:top w:type="dxa" w:w="80"/>
              <w:left w:type="dxa" w:w="120"/>
              <w:bottom w:type="dxa" w:w="80"/>
              <w:right w:type="dxa" w:w="120"/>
            </w:tcMar>
          </w:tcPr>
          <w:p>
            <w:r>
              <w:rPr>
                <w:rFonts w:ascii="Arial" w:cs="Arial" w:eastAsia="Arial" w:hAnsi="Arial"/>
                <w:b/>
                <w:bCs/>
                <w:color w:val="FFFFFF"/>
                <w:sz w:val="20"/>
                <w:szCs w:val="20"/>
              </w:rPr>
              <w:t xml:space="preserve">Uso Recomendado</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architecture</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Decisiones de arquitectura del sistema (capas, patrones estructurales).</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decision</w:t>
            </w:r>
          </w:p>
        </w:tc>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Decisiones técnicas importantes (librerías elegidas, enfoques adoptados).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pattern</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Patrones y convenciones establecidos (naming, estructura de código).</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bugfix</w:t>
            </w:r>
          </w:p>
        </w:tc>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Bugs corregidos con causa raíz documentada para no repetirlos.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learning</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Descubrimientos y aprendizajes durante el desarrollo.</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discovery</w:t>
            </w:r>
          </w:p>
        </w:tc>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Hallazgos no obvios sobre el código sin categoría específica.</w:t>
            </w:r>
          </w:p>
        </w:tc>
      </w:tr>
    </w:tbl>
    <w:p>
      <w:pPr>
        <w:pBdr>
          <w:bottom w:val="single" w:color="CC0000" w:sz="4"/>
        </w:pBdr>
        <w:spacing w:after="120" w:before="120"/>
      </w:pPr>
    </w:p>
    <w:p>
      <w:pPr>
        <w:shd w:fill="CC0000" w:val="clear"/>
        <w:spacing w:after="120" w:before="240"/>
        <w:ind w:left="120" w:right="120"/>
      </w:pPr>
      <w:r>
        <w:rPr>
          <w:rFonts w:ascii="Arial" w:cs="Arial" w:eastAsia="Arial" w:hAnsi="Arial"/>
          <w:b/>
          <w:bCs/>
          <w:color w:val="FFFFFF"/>
          <w:sz w:val="28"/>
          <w:szCs w:val="28"/>
        </w:rPr>
        <w:t xml:space="preserve">6. DISEÑO DEL SISTEMA</w:t>
      </w:r>
    </w:p>
    <w:p>
      <w:pPr>
        <w:spacing w:after="0" w:before="120"/>
      </w:pPr>
    </w:p>
    <w:p>
      <w:pPr>
        <w:spacing w:after="80" w:before="180"/>
      </w:pPr>
      <w:r>
        <w:rPr>
          <w:rFonts w:ascii="Arial" w:cs="Arial" w:eastAsia="Arial" w:hAnsi="Arial"/>
          <w:b/>
          <w:bCs/>
          <w:color w:val="CC0000"/>
          <w:sz w:val="24"/>
          <w:szCs w:val="24"/>
        </w:rPr>
        <w:t xml:space="preserve">6.1 Principios de Diseño</w:t>
      </w:r>
    </w:p>
    <w:p>
      <w:pPr>
        <w:spacing w:after="60" w:before="60"/>
      </w:pPr>
      <w:r>
        <w:rPr>
          <w:rFonts w:ascii="Arial" w:cs="Arial" w:eastAsia="Arial" w:hAnsi="Arial"/>
          <w:sz w:val="22"/>
          <w:szCs w:val="22"/>
        </w:rPr>
        <w:t xml:space="preserve">gomemory fue diseñado siguiendo principios claros que guían cada decisión técnica del proyecto:</w:t>
      </w:r>
    </w:p>
    <w:p>
      <w:pPr>
        <w:spacing w:after="0" w:before="80"/>
      </w:pPr>
    </w:p>
    <w:p>
      <w:pPr>
        <w:pStyle w:val="ListParagraph"/>
        <w:numPr>
          <w:ilvl w:val="0"/>
          <w:numId w:val="2"/>
        </w:numPr>
        <w:spacing w:after="40" w:before="40"/>
      </w:pPr>
      <w:r>
        <w:rPr>
          <w:rFonts w:ascii="Arial" w:cs="Arial" w:eastAsia="Arial" w:hAnsi="Arial"/>
          <w:sz w:val="22"/>
          <w:szCs w:val="22"/>
        </w:rPr>
        <w:t xml:space="preserve">Portabilidad absoluta: el binario funciona en cualquier plataforma sin instalación adicional. Las configuraciones MCP usan mem por PATH, nunca rutas absolutas de máquina.</w:t>
      </w:r>
    </w:p>
    <w:p>
      <w:pPr>
        <w:pStyle w:val="ListParagraph"/>
        <w:numPr>
          <w:ilvl w:val="0"/>
          <w:numId w:val="2"/>
        </w:numPr>
        <w:spacing w:after="40" w:before="40"/>
      </w:pPr>
      <w:r>
        <w:rPr>
          <w:rFonts w:ascii="Arial" w:cs="Arial" w:eastAsia="Arial" w:hAnsi="Arial"/>
          <w:sz w:val="22"/>
          <w:szCs w:val="22"/>
        </w:rPr>
        <w:t xml:space="preserve">Cero dependencias en runtime: modernc.org/sqlite es SQLite puro en Go. El usuario final no necesita instalar nada más allá del binario mem.</w:t>
      </w:r>
    </w:p>
    <w:p>
      <w:pPr>
        <w:pStyle w:val="ListParagraph"/>
        <w:numPr>
          <w:ilvl w:val="0"/>
          <w:numId w:val="2"/>
        </w:numPr>
        <w:spacing w:after="40" w:before="40"/>
      </w:pPr>
      <w:r>
        <w:rPr>
          <w:rFonts w:ascii="Arial" w:cs="Arial" w:eastAsia="Arial" w:hAnsi="Arial"/>
          <w:sz w:val="22"/>
          <w:szCs w:val="22"/>
        </w:rPr>
        <w:t xml:space="preserve">Idempotencia: todas las operaciones de instalación y configuración son seguras de re-ejecutar. mem install no duplica configuraciones ni sobrescribe datos existentes.</w:t>
      </w:r>
    </w:p>
    <w:p>
      <w:pPr>
        <w:pStyle w:val="ListParagraph"/>
        <w:numPr>
          <w:ilvl w:val="0"/>
          <w:numId w:val="2"/>
        </w:numPr>
        <w:spacing w:after="40" w:before="40"/>
      </w:pPr>
      <w:r>
        <w:rPr>
          <w:rFonts w:ascii="Arial" w:cs="Arial" w:eastAsia="Arial" w:hAnsi="Arial"/>
          <w:sz w:val="22"/>
          <w:szCs w:val="22"/>
        </w:rPr>
        <w:t xml:space="preserve">Separación de responsabilidades: la arquitectura hexagonal garantiza que los cambios en la persistencia (SQLite) no afecten la lógica de negocio, y viceversa.</w:t>
      </w:r>
    </w:p>
    <w:p>
      <w:pPr>
        <w:pStyle w:val="ListParagraph"/>
        <w:numPr>
          <w:ilvl w:val="0"/>
          <w:numId w:val="2"/>
        </w:numPr>
        <w:spacing w:after="40" w:before="40"/>
      </w:pPr>
      <w:r>
        <w:rPr>
          <w:rFonts w:ascii="Arial" w:cs="Arial" w:eastAsia="Arial" w:hAnsi="Arial"/>
          <w:sz w:val="22"/>
          <w:szCs w:val="22"/>
        </w:rPr>
        <w:t xml:space="preserve">Seguridad por diseño: las operaciones destructivas (purge, compact, gc) no están expuestas vía MCP. Un agente AI no puede borrar memoria por su cuenta.</w:t>
      </w:r>
    </w:p>
    <w:p>
      <w:pPr>
        <w:spacing w:after="0" w:before="120"/>
      </w:pPr>
    </w:p>
    <w:p>
      <w:pPr>
        <w:spacing w:after="80" w:before="180"/>
      </w:pPr>
      <w:r>
        <w:rPr>
          <w:rFonts w:ascii="Arial" w:cs="Arial" w:eastAsia="Arial" w:hAnsi="Arial"/>
          <w:b/>
          <w:bCs/>
          <w:color w:val="CC0000"/>
          <w:sz w:val="24"/>
          <w:szCs w:val="24"/>
        </w:rPr>
        <w:t xml:space="preserve">6.2 Decisiones Técnicas Clave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360"/>
      </w:tblGrid>
      <w:tr>
        <w:tc>
          <w:tcPr>
            <w:tcW w:type="dxa" w:w="2800"/>
            <w:tcBorders>
              <w:top w:val="single" w:color="CCCCCC" w:sz="1"/>
              <w:left w:val="single" w:color="CCCCCC" w:sz="1"/>
              <w:bottom w:val="single" w:color="CCCCCC" w:sz="1"/>
              <w:right w:val="single" w:color="CCCCCC" w:sz="1"/>
            </w:tcBorders>
            <w:shd w:fill="CC0000" w:val="clear"/>
            <w:tcMar>
              <w:top w:type="dxa" w:w="80"/>
              <w:left w:type="dxa" w:w="120"/>
              <w:bottom w:type="dxa" w:w="80"/>
              <w:right w:type="dxa" w:w="120"/>
            </w:tcMar>
          </w:tcPr>
          <w:p>
            <w:r>
              <w:rPr>
                <w:rFonts w:ascii="Arial" w:cs="Arial" w:eastAsia="Arial" w:hAnsi="Arial"/>
                <w:b/>
                <w:bCs/>
                <w:color w:val="FFFFFF"/>
                <w:sz w:val="20"/>
                <w:szCs w:val="20"/>
              </w:rPr>
              <w:t xml:space="preserve">Decisión</w:t>
            </w:r>
          </w:p>
        </w:tc>
        <w:tc>
          <w:tcPr>
            <w:tcW w:type="dxa" w:w="2200"/>
            <w:tcBorders>
              <w:top w:val="single" w:color="CCCCCC" w:sz="1"/>
              <w:left w:val="single" w:color="CCCCCC" w:sz="1"/>
              <w:bottom w:val="single" w:color="CCCCCC" w:sz="1"/>
              <w:right w:val="single" w:color="CCCCCC" w:sz="1"/>
            </w:tcBorders>
            <w:shd w:fill="CC0000" w:val="clear"/>
            <w:tcMar>
              <w:top w:type="dxa" w:w="80"/>
              <w:left w:type="dxa" w:w="120"/>
              <w:bottom w:type="dxa" w:w="80"/>
              <w:right w:type="dxa" w:w="120"/>
            </w:tcMar>
          </w:tcPr>
          <w:p>
            <w:r>
              <w:rPr>
                <w:rFonts w:ascii="Arial" w:cs="Arial" w:eastAsia="Arial" w:hAnsi="Arial"/>
                <w:b/>
                <w:bCs/>
                <w:color w:val="FFFFFF"/>
                <w:sz w:val="20"/>
                <w:szCs w:val="20"/>
              </w:rPr>
              <w:t xml:space="preserve">Alternativa Descartada</w:t>
            </w:r>
          </w:p>
        </w:tc>
        <w:tc>
          <w:tcPr>
            <w:tcW w:type="dxa" w:w="4360"/>
            <w:tcBorders>
              <w:top w:val="single" w:color="CCCCCC" w:sz="1"/>
              <w:left w:val="single" w:color="CCCCCC" w:sz="1"/>
              <w:bottom w:val="single" w:color="CCCCCC" w:sz="1"/>
              <w:right w:val="single" w:color="CCCCCC" w:sz="1"/>
            </w:tcBorders>
            <w:shd w:fill="CC0000" w:val="clear"/>
            <w:tcMar>
              <w:top w:type="dxa" w:w="80"/>
              <w:left w:type="dxa" w:w="120"/>
              <w:bottom w:type="dxa" w:w="80"/>
              <w:right w:type="dxa" w:w="120"/>
            </w:tcMar>
          </w:tcPr>
          <w:p>
            <w:r>
              <w:rPr>
                <w:rFonts w:ascii="Arial" w:cs="Arial" w:eastAsia="Arial" w:hAnsi="Arial"/>
                <w:b/>
                <w:bCs/>
                <w:color w:val="FFFFFF"/>
                <w:sz w:val="20"/>
                <w:szCs w:val="20"/>
              </w:rPr>
              <w:t xml:space="preserve">Razón de la Elección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SQLite sin CGO (modernc.org)</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libsqlite3 con CGO</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CGO impide compilación cruzada sin toolchain de C. modernc.org es SQLite puro en Go.</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Binario único autocontenido</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Arquitectura cliente/servidor</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Elimina problemas de versiones, puertos y configuración. mem funciona en cualquier máquina.</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Hooks como subcomandos del binario</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Scripts shell (bash/curl)</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Los scripts shell no funcionan en Windows. Los subcomandos del binario son portables.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WAL mode en SQLite</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Journal mode por defecto</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WAL permite lectores concurrentes sin bloqueo. Mejor rendimiento con múltiples agentes.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Timestamps en UTC-5 explícito</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Zona horaria del sistema</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Consistencia entre máquinas y SOs. Los archivos SQLite son portables sin necesidad de configuración TZ.</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--root flag en MCP server</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Resolución por cwd</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El cwd del proceso que lanza el MCP no es confiable entre agentes. --root garantiza el proyecto correcto.</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Búsqueda con ranking por relevancia</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Búsqueda LIKE simple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Los matches en título son más relevantes que los de contenido. Orden determinista y útil.</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go:embed para templates y plugins</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Archivos externos en disco</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El binario es autocontenido. mem install no depende de archivos presentes en el cwd.</w:t>
            </w:r>
          </w:p>
        </w:tc>
      </w:tr>
    </w:tbl>
    <w:p>
      <w:pPr>
        <w:spacing w:after="0" w:before="160"/>
      </w:pPr>
    </w:p>
    <w:p>
      <w:pPr>
        <w:spacing w:after="80" w:before="180"/>
      </w:pPr>
      <w:r>
        <w:rPr>
          <w:rFonts w:ascii="Arial" w:cs="Arial" w:eastAsia="Arial" w:hAnsi="Arial"/>
          <w:b/>
          <w:bCs/>
          <w:color w:val="CC0000"/>
          <w:sz w:val="24"/>
          <w:szCs w:val="24"/>
        </w:rPr>
        <w:t xml:space="preserve">6.3 Estructura de Directorios del Proyecto Instalado</w:t>
      </w:r>
    </w:p>
    <w:p>
      <w:pPr>
        <w:spacing w:after="60" w:before="60"/>
      </w:pPr>
      <w:r>
        <w:rPr>
          <w:rFonts w:ascii="Arial" w:cs="Arial" w:eastAsia="Arial" w:hAnsi="Arial"/>
          <w:sz w:val="22"/>
          <w:szCs w:val="22"/>
        </w:rPr>
        <w:t xml:space="preserve">Después de ejecutar mem install en un proyecto, la estructura resultante es:</w:t>
      </w:r>
    </w:p>
    <w:p>
      <w:pPr>
        <w:spacing w:after="0" w:before="80"/>
      </w:pPr>
    </w:p>
    <w:p>
      <w:pPr>
        <w:shd w:fill="F0F0F0" w:val="clear"/>
        <w:spacing w:after="20" w:before="20"/>
        <w:ind w:left="360" w:right="360"/>
      </w:pPr>
      <w:r>
        <w:rPr>
          <w:rFonts w:ascii="Courier New" w:cs="Courier New" w:eastAsia="Courier New" w:hAnsi="Courier New"/>
          <w:color w:val="2B547E"/>
          <w:sz w:val="18"/>
          <w:szCs w:val="18"/>
        </w:rPr>
        <w:t xml:space="preserve">proyecto/</w:t>
      </w:r>
    </w:p>
    <w:p>
      <w:pPr>
        <w:shd w:fill="F0F0F0" w:val="clear"/>
        <w:spacing w:after="20" w:before="20"/>
        <w:ind w:left="360" w:right="360"/>
      </w:pPr>
      <w:r>
        <w:rPr>
          <w:rFonts w:ascii="Courier New" w:cs="Courier New" w:eastAsia="Courier New" w:hAnsi="Courier New"/>
          <w:color w:val="2B547E"/>
          <w:sz w:val="18"/>
          <w:szCs w:val="18"/>
        </w:rPr>
        <w:t xml:space="preserve">├── .memory/                    ← BD + contexto (en .gitignore)</w:t>
      </w:r>
    </w:p>
    <w:p>
      <w:pPr>
        <w:shd w:fill="F0F0F0" w:val="clear"/>
        <w:spacing w:after="20" w:before="20"/>
        <w:ind w:left="360" w:right="360"/>
      </w:pPr>
      <w:r>
        <w:rPr>
          <w:rFonts w:ascii="Courier New" w:cs="Courier New" w:eastAsia="Courier New" w:hAnsi="Courier New"/>
          <w:color w:val="2B547E"/>
          <w:sz w:val="18"/>
          <w:szCs w:val="18"/>
        </w:rPr>
        <w:t xml:space="preserve">│   ├── mem.db                  ← SQLite en WAL mode</w:t>
      </w:r>
    </w:p>
    <w:p>
      <w:pPr>
        <w:shd w:fill="F0F0F0" w:val="clear"/>
        <w:spacing w:after="20" w:before="20"/>
        <w:ind w:left="360" w:right="360"/>
      </w:pPr>
      <w:r>
        <w:rPr>
          <w:rFonts w:ascii="Courier New" w:cs="Courier New" w:eastAsia="Courier New" w:hAnsi="Courier New"/>
          <w:color w:val="2B547E"/>
          <w:sz w:val="18"/>
          <w:szCs w:val="18"/>
        </w:rPr>
        <w:t xml:space="preserve">│   └── context.md              ← Contexto markdown generado</w:t>
      </w:r>
    </w:p>
    <w:p>
      <w:pPr>
        <w:shd w:fill="F0F0F0" w:val="clear"/>
        <w:spacing w:after="20" w:before="20"/>
        <w:ind w:left="360" w:right="360"/>
      </w:pPr>
      <w:r>
        <w:rPr>
          <w:rFonts w:ascii="Courier New" w:cs="Courier New" w:eastAsia="Courier New" w:hAnsi="Courier New"/>
          <w:color w:val="2B547E"/>
          <w:sz w:val="18"/>
          <w:szCs w:val="18"/>
        </w:rPr>
        <w:t xml:space="preserve">├── AGENTS.md                   ← Instrucciones para todos los agentes</w:t>
      </w:r>
    </w:p>
    <w:p>
      <w:pPr>
        <w:shd w:fill="F0F0F0" w:val="clear"/>
        <w:spacing w:after="20" w:before="20"/>
        <w:ind w:left="360" w:right="360"/>
      </w:pPr>
      <w:r>
        <w:rPr>
          <w:rFonts w:ascii="Courier New" w:cs="Courier New" w:eastAsia="Courier New" w:hAnsi="Courier New"/>
          <w:color w:val="2B547E"/>
          <w:sz w:val="18"/>
          <w:szCs w:val="18"/>
        </w:rPr>
        <w:t xml:space="preserve">├── CLAUDE.md                   ← Específico para Claude Code</w:t>
      </w:r>
    </w:p>
    <w:p>
      <w:pPr>
        <w:shd w:fill="F0F0F0" w:val="clear"/>
        <w:spacing w:after="20" w:before="20"/>
        <w:ind w:left="360" w:right="360"/>
      </w:pPr>
      <w:r>
        <w:rPr>
          <w:rFonts w:ascii="Courier New" w:cs="Courier New" w:eastAsia="Courier New" w:hAnsi="Courier New"/>
          <w:color w:val="2B547E"/>
          <w:sz w:val="18"/>
          <w:szCs w:val="18"/>
        </w:rPr>
        <w:t xml:space="preserve">├── .mcp.json                   ← Config MCP para Claude</w:t>
      </w:r>
    </w:p>
    <w:p>
      <w:pPr>
        <w:shd w:fill="F0F0F0" w:val="clear"/>
        <w:spacing w:after="20" w:before="20"/>
        <w:ind w:left="360" w:right="360"/>
      </w:pPr>
      <w:r>
        <w:rPr>
          <w:rFonts w:ascii="Courier New" w:cs="Courier New" w:eastAsia="Courier New" w:hAnsi="Courier New"/>
          <w:color w:val="2B547E"/>
          <w:sz w:val="18"/>
          <w:szCs w:val="18"/>
        </w:rPr>
        <w:t xml:space="preserve">├── .opencode.json              ← Config MCP para OpenCode</w:t>
      </w:r>
    </w:p>
    <w:p>
      <w:pPr>
        <w:shd w:fill="F0F0F0" w:val="clear"/>
        <w:spacing w:after="20" w:before="20"/>
        <w:ind w:left="360" w:right="360"/>
      </w:pPr>
      <w:r>
        <w:rPr>
          <w:rFonts w:ascii="Courier New" w:cs="Courier New" w:eastAsia="Courier New" w:hAnsi="Courier New"/>
          <w:color w:val="2B547E"/>
          <w:sz w:val="18"/>
          <w:szCs w:val="18"/>
        </w:rPr>
        <w:t xml:space="preserve">├── .cursor/mcp.json            ← Config MCP para Cursor</w:t>
      </w:r>
    </w:p>
    <w:p>
      <w:pPr>
        <w:shd w:fill="F0F0F0" w:val="clear"/>
        <w:spacing w:after="20" w:before="20"/>
        <w:ind w:left="360" w:right="360"/>
      </w:pPr>
      <w:r>
        <w:rPr>
          <w:rFonts w:ascii="Courier New" w:cs="Courier New" w:eastAsia="Courier New" w:hAnsi="Courier New"/>
          <w:color w:val="2B547E"/>
          <w:sz w:val="18"/>
          <w:szCs w:val="18"/>
        </w:rPr>
        <w:t xml:space="preserve">├── .windsurf/mcp_config.json   ← Config MCP para Windsurf</w:t>
      </w:r>
    </w:p>
    <w:p>
      <w:pPr>
        <w:shd w:fill="F0F0F0" w:val="clear"/>
        <w:spacing w:after="20" w:before="20"/>
        <w:ind w:left="360" w:right="360"/>
      </w:pPr>
      <w:r>
        <w:rPr>
          <w:rFonts w:ascii="Courier New" w:cs="Courier New" w:eastAsia="Courier New" w:hAnsi="Courier New"/>
          <w:color w:val="2B547E"/>
          <w:sz w:val="18"/>
          <w:szCs w:val="18"/>
        </w:rPr>
        <w:t xml:space="preserve">├── .cline/mcp_settings.json    ← Config MCP para Cline</w:t>
      </w:r>
    </w:p>
    <w:p>
      <w:pPr>
        <w:shd w:fill="F0F0F0" w:val="clear"/>
        <w:spacing w:after="20" w:before="20"/>
        <w:ind w:left="360" w:right="360"/>
      </w:pPr>
      <w:r>
        <w:rPr>
          <w:rFonts w:ascii="Courier New" w:cs="Courier New" w:eastAsia="Courier New" w:hAnsi="Courier New"/>
          <w:color w:val="2B547E"/>
          <w:sz w:val="18"/>
          <w:szCs w:val="18"/>
        </w:rPr>
        <w:t xml:space="preserve">├── mem                         ← Binario (en .gitignore)</w:t>
      </w:r>
    </w:p>
    <w:p>
      <w:pPr>
        <w:shd w:fill="F0F0F0" w:val="clear"/>
        <w:spacing w:after="20" w:before="20"/>
        <w:ind w:left="360" w:right="360"/>
      </w:pPr>
      <w:r>
        <w:rPr>
          <w:rFonts w:ascii="Courier New" w:cs="Courier New" w:eastAsia="Courier New" w:hAnsi="Courier New"/>
          <w:color w:val="2B547E"/>
          <w:sz w:val="18"/>
          <w:szCs w:val="18"/>
        </w:rPr>
        <w:t xml:space="preserve">└── .gitignore                  ← .memory/ y /mem ignorados</w:t>
      </w:r>
    </w:p>
    <w:p>
      <w:pPr>
        <w:spacing w:after="0" w:before="80"/>
      </w:pPr>
    </w:p>
    <w:p>
      <w:pPr>
        <w:spacing w:after="60" w:before="60"/>
      </w:pPr>
      <w:r>
        <w:rPr>
          <w:rFonts w:ascii="Arial" w:cs="Arial" w:eastAsia="Arial" w:hAnsi="Arial"/>
          <w:sz w:val="22"/>
          <w:szCs w:val="22"/>
        </w:rPr>
        <w:t xml:space="preserve">Nota: Codex no usa un archivo de configuración dentro del proyecto. mem setup-mcp agrega una tabla por proyecto en el archivo global ~/.codex/config.toml.</w:t>
      </w:r>
    </w:p>
    <w:p>
      <w:pPr>
        <w:pBdr>
          <w:bottom w:val="single" w:color="CC0000" w:sz="4"/>
        </w:pBdr>
        <w:spacing w:after="120" w:before="120"/>
      </w:pPr>
    </w:p>
    <w:p>
      <w:pPr>
        <w:shd w:fill="CC0000" w:val="clear"/>
        <w:spacing w:after="120" w:before="240"/>
        <w:ind w:left="120" w:right="120"/>
      </w:pPr>
      <w:r>
        <w:rPr>
          <w:rFonts w:ascii="Arial" w:cs="Arial" w:eastAsia="Arial" w:hAnsi="Arial"/>
          <w:b/>
          <w:bCs/>
          <w:color w:val="FFFFFF"/>
          <w:sz w:val="28"/>
          <w:szCs w:val="28"/>
        </w:rPr>
        <w:t xml:space="preserve">7. RELEASE EN GITHUB — MULTI-PLATAFORMA</w:t>
      </w:r>
    </w:p>
    <w:p>
      <w:pPr>
        <w:spacing w:after="0" w:before="120"/>
      </w:pPr>
    </w:p>
    <w:p>
      <w:pPr>
        <w:spacing w:after="60" w:before="60"/>
      </w:pPr>
      <w:r>
        <w:rPr>
          <w:rFonts w:ascii="Arial" w:cs="Arial" w:eastAsia="Arial" w:hAnsi="Arial"/>
          <w:sz w:val="22"/>
          <w:szCs w:val="22"/>
        </w:rPr>
        <w:t xml:space="preserve">El proceso de release de gomemory está completamente automatizado con GoReleaser y GitHub Actions. Un solo push de tag genera binarios compilados para cinco plataformas/arquitecturas y los publica como assets del release de GitHub.</w:t>
      </w:r>
    </w:p>
    <w:p>
      <w:pPr>
        <w:spacing w:after="0" w:before="80"/>
      </w:pPr>
    </w:p>
    <w:p>
      <w:pPr>
        <w:spacing w:after="80" w:before="180"/>
      </w:pPr>
      <w:r>
        <w:rPr>
          <w:rFonts w:ascii="Arial" w:cs="Arial" w:eastAsia="Arial" w:hAnsi="Arial"/>
          <w:b/>
          <w:bCs/>
          <w:color w:val="CC0000"/>
          <w:sz w:val="24"/>
          <w:szCs w:val="24"/>
        </w:rPr>
        <w:t xml:space="preserve">7.1 Plataformas Soportadas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2800"/>
        <w:gridCol w:w="1760"/>
      </w:tblGrid>
      <w:tr>
        <w:tc>
          <w:tcPr>
            <w:tcW w:type="dxa" w:w="2200"/>
            <w:tcBorders>
              <w:top w:val="single" w:color="CCCCCC" w:sz="1"/>
              <w:left w:val="single" w:color="CCCCCC" w:sz="1"/>
              <w:bottom w:val="single" w:color="CCCCCC" w:sz="1"/>
              <w:right w:val="single" w:color="CCCCCC" w:sz="1"/>
            </w:tcBorders>
            <w:shd w:fill="CC0000" w:val="clear"/>
            <w:tcMar>
              <w:top w:type="dxa" w:w="80"/>
              <w:left w:type="dxa" w:w="120"/>
              <w:bottom w:type="dxa" w:w="80"/>
              <w:right w:type="dxa" w:w="120"/>
            </w:tcMar>
          </w:tcPr>
          <w:p>
            <w:r>
              <w:rPr>
                <w:rFonts w:ascii="Arial" w:cs="Arial" w:eastAsia="Arial" w:hAnsi="Arial"/>
                <w:b/>
                <w:bCs/>
                <w:color w:val="FFFFFF"/>
                <w:sz w:val="20"/>
                <w:szCs w:val="20"/>
              </w:rPr>
              <w:t xml:space="preserve">Sistema Operativo</w:t>
            </w:r>
          </w:p>
        </w:tc>
        <w:tc>
          <w:tcPr>
            <w:tcW w:type="dxa" w:w="2600"/>
            <w:tcBorders>
              <w:top w:val="single" w:color="CCCCCC" w:sz="1"/>
              <w:left w:val="single" w:color="CCCCCC" w:sz="1"/>
              <w:bottom w:val="single" w:color="CCCCCC" w:sz="1"/>
              <w:right w:val="single" w:color="CCCCCC" w:sz="1"/>
            </w:tcBorders>
            <w:shd w:fill="CC0000" w:val="clear"/>
            <w:tcMar>
              <w:top w:type="dxa" w:w="80"/>
              <w:left w:type="dxa" w:w="120"/>
              <w:bottom w:type="dxa" w:w="80"/>
              <w:right w:type="dxa" w:w="120"/>
            </w:tcMar>
          </w:tcPr>
          <w:p>
            <w:r>
              <w:rPr>
                <w:rFonts w:ascii="Arial" w:cs="Arial" w:eastAsia="Arial" w:hAnsi="Arial"/>
                <w:b/>
                <w:bCs/>
                <w:color w:val="FFFFFF"/>
                <w:sz w:val="20"/>
                <w:szCs w:val="20"/>
              </w:rPr>
              <w:t xml:space="preserve">Arquitectura</w:t>
            </w:r>
          </w:p>
        </w:tc>
        <w:tc>
          <w:tcPr>
            <w:tcW w:type="dxa" w:w="2800"/>
            <w:tcBorders>
              <w:top w:val="single" w:color="CCCCCC" w:sz="1"/>
              <w:left w:val="single" w:color="CCCCCC" w:sz="1"/>
              <w:bottom w:val="single" w:color="CCCCCC" w:sz="1"/>
              <w:right w:val="single" w:color="CCCCCC" w:sz="1"/>
            </w:tcBorders>
            <w:shd w:fill="CC0000" w:val="clear"/>
            <w:tcMar>
              <w:top w:type="dxa" w:w="80"/>
              <w:left w:type="dxa" w:w="120"/>
              <w:bottom w:type="dxa" w:w="80"/>
              <w:right w:type="dxa" w:w="120"/>
            </w:tcMar>
          </w:tcPr>
          <w:p>
            <w:r>
              <w:rPr>
                <w:rFonts w:ascii="Arial" w:cs="Arial" w:eastAsia="Arial" w:hAnsi="Arial"/>
                <w:b/>
                <w:bCs/>
                <w:color w:val="FFFFFF"/>
                <w:sz w:val="20"/>
                <w:szCs w:val="20"/>
              </w:rPr>
              <w:t xml:space="preserve">Archivo Generado</w:t>
            </w:r>
          </w:p>
        </w:tc>
        <w:tc>
          <w:tcPr>
            <w:tcW w:type="dxa" w:w="1760"/>
            <w:tcBorders>
              <w:top w:val="single" w:color="CCCCCC" w:sz="1"/>
              <w:left w:val="single" w:color="CCCCCC" w:sz="1"/>
              <w:bottom w:val="single" w:color="CCCCCC" w:sz="1"/>
              <w:right w:val="single" w:color="CCCCCC" w:sz="1"/>
            </w:tcBorders>
            <w:shd w:fill="CC0000" w:val="clear"/>
            <w:tcMar>
              <w:top w:type="dxa" w:w="80"/>
              <w:left w:type="dxa" w:w="120"/>
              <w:bottom w:type="dxa" w:w="80"/>
              <w:right w:type="dxa" w:w="120"/>
            </w:tcMar>
          </w:tcPr>
          <w:p>
            <w:r>
              <w:rPr>
                <w:rFonts w:ascii="Arial" w:cs="Arial" w:eastAsia="Arial" w:hAnsi="Arial"/>
                <w:b/>
                <w:bCs/>
                <w:color w:val="FFFFFF"/>
                <w:sz w:val="20"/>
                <w:szCs w:val="20"/>
              </w:rPr>
              <w:t xml:space="preserve">Formato</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Linux</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amd64 (x86_64)</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mem_linux_amd64.tar.gz</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tar.gz</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Linux</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arm64 (Apple M1/M2 equiv.)</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mem_linux_arm64.tar.gz</w:t>
            </w:r>
          </w:p>
        </w:tc>
        <w:tc>
          <w:tcPr>
            <w:tcW w:type="dxa" w:w="1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tar.gz</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macOS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amd64 (Intel)</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mem_darwin_amd64.tar.gz</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tar.gz</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macOS</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arm64 (Apple Silicon)</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mem_darwin_arm64.tar.gz</w:t>
            </w:r>
          </w:p>
        </w:tc>
        <w:tc>
          <w:tcPr>
            <w:tcW w:type="dxa" w:w="1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tar.gz</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Windows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amd64 (x86_64)</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mem_windows_amd64.zip</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zip</w:t>
            </w:r>
          </w:p>
        </w:tc>
      </w:tr>
    </w:tbl>
    <w:p>
      <w:pPr>
        <w:spacing w:after="0" w:before="160"/>
      </w:pPr>
    </w:p>
    <w:p>
      <w:pPr>
        <w:spacing w:after="80" w:before="180"/>
      </w:pPr>
      <w:r>
        <w:rPr>
          <w:rFonts w:ascii="Arial" w:cs="Arial" w:eastAsia="Arial" w:hAnsi="Arial"/>
          <w:b/>
          <w:bCs/>
          <w:color w:val="CC0000"/>
          <w:sz w:val="24"/>
          <w:szCs w:val="24"/>
        </w:rPr>
        <w:t xml:space="preserve">7.2 Prerrequisitos</w:t>
      </w:r>
    </w:p>
    <w:p>
      <w:pPr>
        <w:pStyle w:val="ListParagraph"/>
        <w:numPr>
          <w:ilvl w:val="0"/>
          <w:numId w:val="2"/>
        </w:numPr>
        <w:spacing w:after="40" w:before="40"/>
      </w:pPr>
      <w:r>
        <w:rPr>
          <w:rFonts w:ascii="Arial" w:cs="Arial" w:eastAsia="Arial" w:hAnsi="Arial"/>
          <w:sz w:val="22"/>
          <w:szCs w:val="22"/>
        </w:rPr>
        <w:t xml:space="preserve">Cuenta de GitHub con repositorio configurado (owner: Sayoner-000, repo: gomemory).</w:t>
      </w:r>
    </w:p>
    <w:p>
      <w:pPr>
        <w:pStyle w:val="ListParagraph"/>
        <w:numPr>
          <w:ilvl w:val="0"/>
          <w:numId w:val="2"/>
        </w:numPr>
        <w:spacing w:after="40" w:before="40"/>
      </w:pPr>
      <w:r>
        <w:rPr>
          <w:rFonts w:ascii="Arial" w:cs="Arial" w:eastAsia="Arial" w:hAnsi="Arial"/>
          <w:sz w:val="22"/>
          <w:szCs w:val="22"/>
        </w:rPr>
        <w:t xml:space="preserve">Go 1.25+ instalado localmente para verificar el build antes del release.</w:t>
      </w:r>
    </w:p>
    <w:p>
      <w:pPr>
        <w:pStyle w:val="ListParagraph"/>
        <w:numPr>
          <w:ilvl w:val="0"/>
          <w:numId w:val="2"/>
        </w:numPr>
        <w:spacing w:after="40" w:before="40"/>
      </w:pPr>
      <w:r>
        <w:rPr>
          <w:rFonts w:ascii="Arial" w:cs="Arial" w:eastAsia="Arial" w:hAnsi="Arial"/>
          <w:sz w:val="22"/>
          <w:szCs w:val="22"/>
        </w:rPr>
        <w:t xml:space="preserve">GoReleaser instalado localmente (opcional, solo para dry-run previo al push del tag).</w:t>
      </w:r>
    </w:p>
    <w:p>
      <w:pPr>
        <w:pStyle w:val="ListParagraph"/>
        <w:numPr>
          <w:ilvl w:val="0"/>
          <w:numId w:val="2"/>
        </w:numPr>
        <w:spacing w:after="40" w:before="40"/>
      </w:pPr>
      <w:r>
        <w:rPr>
          <w:rFonts w:ascii="Arial" w:cs="Arial" w:eastAsia="Arial" w:hAnsi="Arial"/>
          <w:sz w:val="22"/>
          <w:szCs w:val="22"/>
        </w:rPr>
        <w:t xml:space="preserve">El workflow .github/workflows/release.yml ya presente en el repositorio.</w:t>
      </w:r>
    </w:p>
    <w:p>
      <w:pPr>
        <w:pStyle w:val="ListParagraph"/>
        <w:numPr>
          <w:ilvl w:val="0"/>
          <w:numId w:val="2"/>
        </w:numPr>
        <w:spacing w:after="40" w:before="40"/>
      </w:pPr>
      <w:r>
        <w:rPr>
          <w:rFonts w:ascii="Arial" w:cs="Arial" w:eastAsia="Arial" w:hAnsi="Arial"/>
          <w:sz w:val="22"/>
          <w:szCs w:val="22"/>
        </w:rPr>
        <w:t xml:space="preserve">Variable de entorno GITHUB_TOKEN configurada en el repositorio (Actions → Secrets). GitHub la genera automáticamente para workflows.</w:t>
      </w:r>
    </w:p>
    <w:p>
      <w:pPr>
        <w:spacing w:after="0" w:before="120"/>
      </w:pPr>
    </w:p>
    <w:p>
      <w:pPr>
        <w:spacing w:after="80" w:before="180"/>
      </w:pPr>
      <w:r>
        <w:rPr>
          <w:rFonts w:ascii="Arial" w:cs="Arial" w:eastAsia="Arial" w:hAnsi="Arial"/>
          <w:b/>
          <w:bCs/>
          <w:color w:val="CC0000"/>
          <w:sz w:val="24"/>
          <w:szCs w:val="24"/>
        </w:rPr>
        <w:t xml:space="preserve">7.3 Paso a Paso: Crear un Release</w:t>
      </w:r>
    </w:p>
    <w:p>
      <w:pPr>
        <w:spacing w:after="0" w:before="80"/>
      </w:pPr>
    </w:p>
    <w:p>
      <w:pPr>
        <w:spacing w:after="60" w:before="60"/>
      </w:pPr>
      <w:r>
        <w:rPr>
          <w:rFonts w:ascii="Arial" w:cs="Arial" w:eastAsia="Arial" w:hAnsi="Arial"/>
          <w:b/>
          <w:bCs/>
          <w:sz w:val="22"/>
          <w:szCs w:val="22"/>
        </w:rPr>
        <w:t xml:space="preserve">PASO 1 — Verificar que el código compila y los tests pasan:</w:t>
      </w:r>
    </w:p>
    <w:p>
      <w:pPr>
        <w:shd w:fill="F0F0F0" w:val="clear"/>
        <w:spacing w:after="20" w:before="20"/>
        <w:ind w:left="360" w:right="360"/>
      </w:pPr>
      <w:r>
        <w:rPr>
          <w:rFonts w:ascii="Courier New" w:cs="Courier New" w:eastAsia="Courier New" w:hAnsi="Courier New"/>
          <w:color w:val="2B547E"/>
          <w:sz w:val="18"/>
          <w:szCs w:val="18"/>
        </w:rPr>
        <w:t xml:space="preserve">go build -o mem ./infrastructure/</w:t>
      </w:r>
    </w:p>
    <w:p>
      <w:pPr>
        <w:shd w:fill="F0F0F0" w:val="clear"/>
        <w:spacing w:after="20" w:before="20"/>
        <w:ind w:left="360" w:right="360"/>
      </w:pPr>
      <w:r>
        <w:rPr>
          <w:rFonts w:ascii="Courier New" w:cs="Courier New" w:eastAsia="Courier New" w:hAnsi="Courier New"/>
          <w:color w:val="2B547E"/>
          <w:sz w:val="18"/>
          <w:szCs w:val="18"/>
        </w:rPr>
        <w:t xml:space="preserve">go vet ./...</w:t>
      </w:r>
    </w:p>
    <w:p>
      <w:pPr>
        <w:shd w:fill="F0F0F0" w:val="clear"/>
        <w:spacing w:after="20" w:before="20"/>
        <w:ind w:left="360" w:right="360"/>
      </w:pPr>
      <w:r>
        <w:rPr>
          <w:rFonts w:ascii="Courier New" w:cs="Courier New" w:eastAsia="Courier New" w:hAnsi="Courier New"/>
          <w:color w:val="2B547E"/>
          <w:sz w:val="18"/>
          <w:szCs w:val="18"/>
        </w:rPr>
        <w:t xml:space="preserve">go test ./... -v</w:t>
      </w:r>
    </w:p>
    <w:p>
      <w:pPr>
        <w:spacing w:after="0" w:before="80"/>
      </w:pPr>
    </w:p>
    <w:p>
      <w:pPr>
        <w:spacing w:after="60" w:before="60"/>
      </w:pPr>
      <w:r>
        <w:rPr>
          <w:rFonts w:ascii="Arial" w:cs="Arial" w:eastAsia="Arial" w:hAnsi="Arial"/>
          <w:b/>
          <w:bCs/>
          <w:sz w:val="22"/>
          <w:szCs w:val="22"/>
        </w:rPr>
        <w:t xml:space="preserve">PASO 2 — Actualizar la versión en el código (si aplica) y hacer commit:</w:t>
      </w:r>
    </w:p>
    <w:p>
      <w:pPr>
        <w:shd w:fill="F0F0F0" w:val="clear"/>
        <w:spacing w:after="20" w:before="20"/>
        <w:ind w:left="360" w:right="360"/>
      </w:pPr>
      <w:r>
        <w:rPr>
          <w:rFonts w:ascii="Courier New" w:cs="Courier New" w:eastAsia="Courier New" w:hAnsi="Courier New"/>
          <w:color w:val="2B547E"/>
          <w:sz w:val="18"/>
          <w:szCs w:val="18"/>
        </w:rPr>
        <w:t xml:space="preserve">git add .</w:t>
      </w:r>
    </w:p>
    <w:p>
      <w:pPr>
        <w:shd w:fill="F0F0F0" w:val="clear"/>
        <w:spacing w:after="20" w:before="20"/>
        <w:ind w:left="360" w:right="360"/>
      </w:pPr>
      <w:r>
        <w:rPr>
          <w:rFonts w:ascii="Courier New" w:cs="Courier New" w:eastAsia="Courier New" w:hAnsi="Courier New"/>
          <w:color w:val="2B547E"/>
          <w:sz w:val="18"/>
          <w:szCs w:val="18"/>
        </w:rPr>
        <w:t xml:space="preserve">git commit -m "chore: preparar release v1.7.0"</w:t>
      </w:r>
    </w:p>
    <w:p>
      <w:pPr>
        <w:shd w:fill="F0F0F0" w:val="clear"/>
        <w:spacing w:after="20" w:before="20"/>
        <w:ind w:left="360" w:right="360"/>
      </w:pPr>
      <w:r>
        <w:rPr>
          <w:rFonts w:ascii="Courier New" w:cs="Courier New" w:eastAsia="Courier New" w:hAnsi="Courier New"/>
          <w:color w:val="2B547E"/>
          <w:sz w:val="18"/>
          <w:szCs w:val="18"/>
        </w:rPr>
        <w:t xml:space="preserve">git push origin main</w:t>
      </w:r>
    </w:p>
    <w:p>
      <w:pPr>
        <w:spacing w:after="0" w:before="80"/>
      </w:pPr>
    </w:p>
    <w:p>
      <w:pPr>
        <w:spacing w:after="60" w:before="60"/>
      </w:pPr>
      <w:r>
        <w:rPr>
          <w:rFonts w:ascii="Arial" w:cs="Arial" w:eastAsia="Arial" w:hAnsi="Arial"/>
          <w:b/>
          <w:bCs/>
          <w:sz w:val="22"/>
          <w:szCs w:val="22"/>
        </w:rPr>
        <w:t xml:space="preserve">PASO 3 — Crear y pushear el tag semántico (este paso dispara el workflow):</w:t>
      </w:r>
    </w:p>
    <w:p>
      <w:pPr>
        <w:shd w:fill="F0F0F0" w:val="clear"/>
        <w:spacing w:after="20" w:before="20"/>
        <w:ind w:left="360" w:right="360"/>
      </w:pPr>
      <w:r>
        <w:rPr>
          <w:rFonts w:ascii="Courier New" w:cs="Courier New" w:eastAsia="Courier New" w:hAnsi="Courier New"/>
          <w:color w:val="2B547E"/>
          <w:sz w:val="18"/>
          <w:szCs w:val="18"/>
        </w:rPr>
        <w:t xml:space="preserve">git tag v1.7.0</w:t>
      </w:r>
    </w:p>
    <w:p>
      <w:pPr>
        <w:shd w:fill="F0F0F0" w:val="clear"/>
        <w:spacing w:after="20" w:before="20"/>
        <w:ind w:left="360" w:right="360"/>
      </w:pPr>
      <w:r>
        <w:rPr>
          <w:rFonts w:ascii="Courier New" w:cs="Courier New" w:eastAsia="Courier New" w:hAnsi="Courier New"/>
          <w:color w:val="2B547E"/>
          <w:sz w:val="18"/>
          <w:szCs w:val="18"/>
        </w:rPr>
        <w:t xml:space="preserve">git push origin v1.7.0</w:t>
      </w:r>
    </w:p>
    <w:p>
      <w:pPr>
        <w:spacing w:after="0" w:before="80"/>
      </w:pPr>
    </w:p>
    <w:p>
      <w:pPr>
        <w:spacing w:after="60" w:before="60"/>
      </w:pPr>
      <w:r>
        <w:rPr>
          <w:rFonts w:ascii="Arial" w:cs="Arial" w:eastAsia="Arial" w:hAnsi="Arial"/>
          <w:b/>
          <w:bCs/>
          <w:sz w:val="22"/>
          <w:szCs w:val="22"/>
        </w:rPr>
        <w:t xml:space="preserve">PASO 4 — Verificar la ejecución del workflow:</w:t>
      </w:r>
    </w:p>
    <w:p>
      <w:pPr>
        <w:pStyle w:val="ListParagraph"/>
        <w:numPr>
          <w:ilvl w:val="0"/>
          <w:numId w:val="2"/>
        </w:numPr>
        <w:spacing w:after="40" w:before="40"/>
      </w:pPr>
      <w:r>
        <w:rPr>
          <w:rFonts w:ascii="Arial" w:cs="Arial" w:eastAsia="Arial" w:hAnsi="Arial"/>
          <w:sz w:val="22"/>
          <w:szCs w:val="22"/>
        </w:rPr>
        <w:t xml:space="preserve">Ir a GitHub → repositorio → pestaña Actions.</w:t>
      </w:r>
    </w:p>
    <w:p>
      <w:pPr>
        <w:pStyle w:val="ListParagraph"/>
        <w:numPr>
          <w:ilvl w:val="0"/>
          <w:numId w:val="2"/>
        </w:numPr>
        <w:spacing w:after="40" w:before="40"/>
      </w:pPr>
      <w:r>
        <w:rPr>
          <w:rFonts w:ascii="Arial" w:cs="Arial" w:eastAsia="Arial" w:hAnsi="Arial"/>
          <w:sz w:val="22"/>
          <w:szCs w:val="22"/>
        </w:rPr>
        <w:t xml:space="preserve">Seleccionar el workflow 'release' y verificar que el job goreleaser se ejecuta en ubuntu-latest.</w:t>
      </w:r>
    </w:p>
    <w:p>
      <w:pPr>
        <w:pStyle w:val="ListParagraph"/>
        <w:numPr>
          <w:ilvl w:val="0"/>
          <w:numId w:val="2"/>
        </w:numPr>
        <w:spacing w:after="40" w:before="40"/>
      </w:pPr>
      <w:r>
        <w:rPr>
          <w:rFonts w:ascii="Arial" w:cs="Arial" w:eastAsia="Arial" w:hAnsi="Arial"/>
          <w:sz w:val="22"/>
          <w:szCs w:val="22"/>
        </w:rPr>
        <w:t xml:space="preserve">El workflow corre: Checkout → Set up Go → Run GoReleaser.</w:t>
      </w:r>
    </w:p>
    <w:p>
      <w:pPr>
        <w:pStyle w:val="ListParagraph"/>
        <w:numPr>
          <w:ilvl w:val="0"/>
          <w:numId w:val="2"/>
        </w:numPr>
        <w:spacing w:after="40" w:before="40"/>
      </w:pPr>
      <w:r>
        <w:rPr>
          <w:rFonts w:ascii="Arial" w:cs="Arial" w:eastAsia="Arial" w:hAnsi="Arial"/>
          <w:sz w:val="22"/>
          <w:szCs w:val="22"/>
        </w:rPr>
        <w:t xml:space="preserve">GoReleaser ejecuta goreleaser release --clean con el GITHUB_TOKEN del repositorio.</w:t>
      </w:r>
    </w:p>
    <w:p>
      <w:pPr>
        <w:spacing w:after="0" w:before="80"/>
      </w:pPr>
    </w:p>
    <w:p>
      <w:pPr>
        <w:spacing w:after="60" w:before="60"/>
      </w:pPr>
      <w:r>
        <w:rPr>
          <w:rFonts w:ascii="Arial" w:cs="Arial" w:eastAsia="Arial" w:hAnsi="Arial"/>
          <w:b/>
          <w:bCs/>
          <w:sz w:val="22"/>
          <w:szCs w:val="22"/>
        </w:rPr>
        <w:t xml:space="preserve">PASO 5 — Verificar el release publicado:</w:t>
      </w:r>
    </w:p>
    <w:p>
      <w:pPr>
        <w:pStyle w:val="ListParagraph"/>
        <w:numPr>
          <w:ilvl w:val="0"/>
          <w:numId w:val="2"/>
        </w:numPr>
        <w:spacing w:after="40" w:before="40"/>
      </w:pPr>
      <w:r>
        <w:rPr>
          <w:rFonts w:ascii="Arial" w:cs="Arial" w:eastAsia="Arial" w:hAnsi="Arial"/>
          <w:sz w:val="22"/>
          <w:szCs w:val="22"/>
        </w:rPr>
        <w:t xml:space="preserve">Ir a GitHub → repositorio → Releases.</w:t>
      </w:r>
    </w:p>
    <w:p>
      <w:pPr>
        <w:pStyle w:val="ListParagraph"/>
        <w:numPr>
          <w:ilvl w:val="0"/>
          <w:numId w:val="2"/>
        </w:numPr>
        <w:spacing w:after="40" w:before="40"/>
      </w:pPr>
      <w:r>
        <w:rPr>
          <w:rFonts w:ascii="Arial" w:cs="Arial" w:eastAsia="Arial" w:hAnsi="Arial"/>
          <w:sz w:val="22"/>
          <w:szCs w:val="22"/>
        </w:rPr>
        <w:t xml:space="preserve">Verificar que el release vX.Y.Z aparece con los 5 assets binarios y el archivo checksums.txt.</w:t>
      </w:r>
    </w:p>
    <w:p>
      <w:pPr>
        <w:pStyle w:val="ListParagraph"/>
        <w:numPr>
          <w:ilvl w:val="0"/>
          <w:numId w:val="2"/>
        </w:numPr>
        <w:spacing w:after="40" w:before="40"/>
      </w:pPr>
      <w:r>
        <w:rPr>
          <w:rFonts w:ascii="Arial" w:cs="Arial" w:eastAsia="Arial" w:hAnsi="Arial"/>
          <w:sz w:val="22"/>
          <w:szCs w:val="22"/>
        </w:rPr>
        <w:t xml:space="preserve">Los scripts de instalación install.sh e install.ps1 descargan automáticamente el asset correcto según el SO/arquitectura del usuario.</w:t>
      </w:r>
    </w:p>
    <w:p>
      <w:pPr>
        <w:spacing w:after="0" w:before="120"/>
      </w:pPr>
    </w:p>
    <w:p>
      <w:pPr>
        <w:spacing w:after="80" w:before="180"/>
      </w:pPr>
      <w:r>
        <w:rPr>
          <w:rFonts w:ascii="Arial" w:cs="Arial" w:eastAsia="Arial" w:hAnsi="Arial"/>
          <w:b/>
          <w:bCs/>
          <w:color w:val="CC0000"/>
          <w:sz w:val="24"/>
          <w:szCs w:val="24"/>
        </w:rPr>
        <w:t xml:space="preserve">7.4 Configuración de GoReleaser (.goreleaser.yml)</w:t>
      </w:r>
    </w:p>
    <w:p>
      <w:pPr>
        <w:spacing w:after="60" w:before="60"/>
      </w:pPr>
      <w:r>
        <w:rPr>
          <w:rFonts w:ascii="Arial" w:cs="Arial" w:eastAsia="Arial" w:hAnsi="Arial"/>
          <w:sz w:val="22"/>
          <w:szCs w:val="22"/>
        </w:rPr>
        <w:t xml:space="preserve">El archivo .goreleaser.yml define todo el proceso de compilación y empaquetado. Los puntos clave de la configuración son:</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tcBorders>
              <w:top w:val="single" w:color="CCCCCC" w:sz="1"/>
              <w:left w:val="single" w:color="CCCCCC" w:sz="1"/>
              <w:bottom w:val="single" w:color="CCCCCC" w:sz="1"/>
              <w:right w:val="single" w:color="CCCCCC" w:sz="1"/>
            </w:tcBorders>
            <w:shd w:fill="CC0000" w:val="clear"/>
            <w:tcMar>
              <w:top w:type="dxa" w:w="80"/>
              <w:left w:type="dxa" w:w="120"/>
              <w:bottom w:type="dxa" w:w="80"/>
              <w:right w:type="dxa" w:w="120"/>
            </w:tcMar>
          </w:tcPr>
          <w:p>
            <w:r>
              <w:rPr>
                <w:rFonts w:ascii="Arial" w:cs="Arial" w:eastAsia="Arial" w:hAnsi="Arial"/>
                <w:b/>
                <w:bCs/>
                <w:color w:val="FFFFFF"/>
                <w:sz w:val="20"/>
                <w:szCs w:val="20"/>
              </w:rPr>
              <w:t xml:space="preserve">Directiva</w:t>
            </w:r>
          </w:p>
        </w:tc>
        <w:tc>
          <w:tcPr>
            <w:tcW w:type="dxa" w:w="2400"/>
            <w:tcBorders>
              <w:top w:val="single" w:color="CCCCCC" w:sz="1"/>
              <w:left w:val="single" w:color="CCCCCC" w:sz="1"/>
              <w:bottom w:val="single" w:color="CCCCCC" w:sz="1"/>
              <w:right w:val="single" w:color="CCCCCC" w:sz="1"/>
            </w:tcBorders>
            <w:shd w:fill="CC0000" w:val="clear"/>
            <w:tcMar>
              <w:top w:type="dxa" w:w="80"/>
              <w:left w:type="dxa" w:w="120"/>
              <w:bottom w:type="dxa" w:w="80"/>
              <w:right w:type="dxa" w:w="120"/>
            </w:tcMar>
          </w:tcPr>
          <w:p>
            <w:r>
              <w:rPr>
                <w:rFonts w:ascii="Arial" w:cs="Arial" w:eastAsia="Arial" w:hAnsi="Arial"/>
                <w:b/>
                <w:bCs/>
                <w:color w:val="FFFFFF"/>
                <w:sz w:val="20"/>
                <w:szCs w:val="20"/>
              </w:rPr>
              <w:t xml:space="preserve">Valor</w:t>
            </w:r>
          </w:p>
        </w:tc>
        <w:tc>
          <w:tcPr>
            <w:tcW w:type="dxa" w:w="4560"/>
            <w:tcBorders>
              <w:top w:val="single" w:color="CCCCCC" w:sz="1"/>
              <w:left w:val="single" w:color="CCCCCC" w:sz="1"/>
              <w:bottom w:val="single" w:color="CCCCCC" w:sz="1"/>
              <w:right w:val="single" w:color="CCCCCC" w:sz="1"/>
            </w:tcBorders>
            <w:shd w:fill="CC0000" w:val="clear"/>
            <w:tcMar>
              <w:top w:type="dxa" w:w="80"/>
              <w:left w:type="dxa" w:w="120"/>
              <w:bottom w:type="dxa" w:w="80"/>
              <w:right w:type="dxa" w:w="120"/>
            </w:tcMar>
          </w:tcPr>
          <w:p>
            <w:r>
              <w:rPr>
                <w:rFonts w:ascii="Arial" w:cs="Arial" w:eastAsia="Arial" w:hAnsi="Arial"/>
                <w:b/>
                <w:bCs/>
                <w:color w:val="FFFFFF"/>
                <w:sz w:val="20"/>
                <w:szCs w:val="20"/>
              </w:rPr>
              <w:t xml:space="preserve">Propósito</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CGO_ENABLED=0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env en builds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Desactiva CGO para compilación cruzada sin toolchain de C.</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main: ./infrastructure</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ruta del entrypoint</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El binario se compila desde infrastructure/main.go.</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binary: mem</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nombre del binario</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El ejecutable se llama mem en todas las plataformas.</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name_template</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mem_{{ .Os }}_{{ .Arch }}</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Nombre predecible para que install.sh/ps1 construyan la URL del asset.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format_overrides (windows)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.zip</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Windows usa .zip en lugar de .tar.gz para compatibilidad nativa.</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ignore (windows/arm64)</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excluido</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Windows arm64 no tiene demanda suficiente para justificar el asset.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prerelease: auto</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release config</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Tags con -rc, -beta, etc. se marcan automáticamente como prereleases.</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checksum</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checksums.txt</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Archivo con hashes SHA256 de todos los assets para verificación de integridad.</w:t>
            </w:r>
          </w:p>
        </w:tc>
      </w:tr>
    </w:tbl>
    <w:p>
      <w:pPr>
        <w:spacing w:after="0" w:before="160"/>
      </w:pPr>
    </w:p>
    <w:p>
      <w:pPr>
        <w:spacing w:after="80" w:before="180"/>
      </w:pPr>
      <w:r>
        <w:rPr>
          <w:rFonts w:ascii="Arial" w:cs="Arial" w:eastAsia="Arial" w:hAnsi="Arial"/>
          <w:b/>
          <w:bCs/>
          <w:color w:val="CC0000"/>
          <w:sz w:val="24"/>
          <w:szCs w:val="24"/>
        </w:rPr>
        <w:t xml:space="preserve">7.5 Workflow de GitHub Actions (release.yml)</w:t>
      </w:r>
    </w:p>
    <w:p>
      <w:pPr>
        <w:spacing w:after="60" w:before="60"/>
      </w:pPr>
      <w:r>
        <w:rPr>
          <w:rFonts w:ascii="Arial" w:cs="Arial" w:eastAsia="Arial" w:hAnsi="Arial"/>
          <w:sz w:val="22"/>
          <w:szCs w:val="22"/>
        </w:rPr>
        <w:t xml:space="preserve">El workflow se define en .github/workflows/release.yml y tiene las siguientes características:</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4560"/>
      </w:tblGrid>
      <w:tr>
        <w:tc>
          <w:tcPr>
            <w:tcW w:type="dxa" w:w="2200"/>
            <w:tcBorders>
              <w:top w:val="single" w:color="CCCCCC" w:sz="1"/>
              <w:left w:val="single" w:color="CCCCCC" w:sz="1"/>
              <w:bottom w:val="single" w:color="CCCCCC" w:sz="1"/>
              <w:right w:val="single" w:color="CCCCCC" w:sz="1"/>
            </w:tcBorders>
            <w:shd w:fill="CC0000" w:val="clear"/>
            <w:tcMar>
              <w:top w:type="dxa" w:w="80"/>
              <w:left w:type="dxa" w:w="120"/>
              <w:bottom w:type="dxa" w:w="80"/>
              <w:right w:type="dxa" w:w="120"/>
            </w:tcMar>
          </w:tcPr>
          <w:p>
            <w:r>
              <w:rPr>
                <w:rFonts w:ascii="Arial" w:cs="Arial" w:eastAsia="Arial" w:hAnsi="Arial"/>
                <w:b/>
                <w:bCs/>
                <w:color w:val="FFFFFF"/>
                <w:sz w:val="20"/>
                <w:szCs w:val="20"/>
              </w:rPr>
              <w:t xml:space="preserve">Configuración</w:t>
            </w:r>
          </w:p>
        </w:tc>
        <w:tc>
          <w:tcPr>
            <w:tcW w:type="dxa" w:w="2600"/>
            <w:tcBorders>
              <w:top w:val="single" w:color="CCCCCC" w:sz="1"/>
              <w:left w:val="single" w:color="CCCCCC" w:sz="1"/>
              <w:bottom w:val="single" w:color="CCCCCC" w:sz="1"/>
              <w:right w:val="single" w:color="CCCCCC" w:sz="1"/>
            </w:tcBorders>
            <w:shd w:fill="CC0000" w:val="clear"/>
            <w:tcMar>
              <w:top w:type="dxa" w:w="80"/>
              <w:left w:type="dxa" w:w="120"/>
              <w:bottom w:type="dxa" w:w="80"/>
              <w:right w:type="dxa" w:w="120"/>
            </w:tcMar>
          </w:tcPr>
          <w:p>
            <w:r>
              <w:rPr>
                <w:rFonts w:ascii="Arial" w:cs="Arial" w:eastAsia="Arial" w:hAnsi="Arial"/>
                <w:b/>
                <w:bCs/>
                <w:color w:val="FFFFFF"/>
                <w:sz w:val="20"/>
                <w:szCs w:val="20"/>
              </w:rPr>
              <w:t xml:space="preserve">Valor</w:t>
            </w:r>
          </w:p>
        </w:tc>
        <w:tc>
          <w:tcPr>
            <w:tcW w:type="dxa" w:w="4560"/>
            <w:tcBorders>
              <w:top w:val="single" w:color="CCCCCC" w:sz="1"/>
              <w:left w:val="single" w:color="CCCCCC" w:sz="1"/>
              <w:bottom w:val="single" w:color="CCCCCC" w:sz="1"/>
              <w:right w:val="single" w:color="CCCCCC" w:sz="1"/>
            </w:tcBorders>
            <w:shd w:fill="CC0000" w:val="clear"/>
            <w:tcMar>
              <w:top w:type="dxa" w:w="80"/>
              <w:left w:type="dxa" w:w="120"/>
              <w:bottom w:type="dxa" w:w="80"/>
              <w:right w:type="dxa" w:w="120"/>
            </w:tcMar>
          </w:tcPr>
          <w:p>
            <w:r>
              <w:rPr>
                <w:rFonts w:ascii="Arial" w:cs="Arial" w:eastAsia="Arial" w:hAnsi="Arial"/>
                <w:b/>
                <w:bCs/>
                <w:color w:val="FFFFFF"/>
                <w:sz w:val="20"/>
                <w:szCs w:val="20"/>
              </w:rPr>
              <w:t xml:space="preserve">Descripción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Trigger</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push tags v*</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Solo se ejecuta al pushear un tag que comienza con v (ej: v1.7.0).</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Permisos</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contents: write</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Necesario para que GoReleaser pueda crear el release y subir assets.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Runner</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ubuntu-latest</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Compilación cruzada desde Linux sin necesidad de runners macOS/Windows.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Go version</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1.26</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Versión de Go usada en el runner de CI.</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GoReleaser action</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goreleaser/goreleaser-action@v7</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Acción oficial de GoReleaser.</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GoReleaser version</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~&gt; v2</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Usa la versión v2 de GoReleaser (coincide con version: 2 en .goreleaser.yml).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Args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release --clean</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--clean elimina el directorio dist/ previo antes de compilar.</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Token</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secrets.GITHUB_TOKEN</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Token automático de GitHub para autenticar la creación del release.</w:t>
            </w:r>
          </w:p>
        </w:tc>
      </w:tr>
    </w:tbl>
    <w:p>
      <w:pPr>
        <w:spacing w:after="0" w:before="160"/>
      </w:pPr>
    </w:p>
    <w:p>
      <w:pPr>
        <w:spacing w:after="80" w:before="180"/>
      </w:pPr>
      <w:r>
        <w:rPr>
          <w:rFonts w:ascii="Arial" w:cs="Arial" w:eastAsia="Arial" w:hAnsi="Arial"/>
          <w:b/>
          <w:bCs/>
          <w:color w:val="CC0000"/>
          <w:sz w:val="24"/>
          <w:szCs w:val="24"/>
        </w:rPr>
        <w:t xml:space="preserve">7.6 Instalación desde el Release</w:t>
      </w:r>
    </w:p>
    <w:p>
      <w:pPr>
        <w:spacing w:after="60" w:before="60"/>
      </w:pPr>
      <w:r>
        <w:rPr>
          <w:rFonts w:ascii="Arial" w:cs="Arial" w:eastAsia="Arial" w:hAnsi="Arial"/>
          <w:sz w:val="22"/>
          <w:szCs w:val="22"/>
        </w:rPr>
        <w:t xml:space="preserve">Una vez publicado el release, los usuarios instalan el binario mem en su PATH con un solo comando:</w:t>
      </w:r>
    </w:p>
    <w:p>
      <w:pPr>
        <w:spacing w:after="0" w:before="80"/>
      </w:pPr>
    </w:p>
    <w:p>
      <w:pPr>
        <w:spacing w:after="60" w:before="60"/>
      </w:pPr>
      <w:r>
        <w:rPr>
          <w:rFonts w:ascii="Arial" w:cs="Arial" w:eastAsia="Arial" w:hAnsi="Arial"/>
          <w:b/>
          <w:bCs/>
          <w:sz w:val="22"/>
          <w:szCs w:val="22"/>
        </w:rPr>
        <w:t xml:space="preserve">Linux / macOS (bash):</w:t>
      </w:r>
    </w:p>
    <w:p>
      <w:pPr>
        <w:shd w:fill="F0F0F0" w:val="clear"/>
        <w:spacing w:after="20" w:before="20"/>
        <w:ind w:left="360" w:right="360"/>
      </w:pPr>
      <w:r>
        <w:rPr>
          <w:rFonts w:ascii="Courier New" w:cs="Courier New" w:eastAsia="Courier New" w:hAnsi="Courier New"/>
          <w:color w:val="2B547E"/>
          <w:sz w:val="18"/>
          <w:szCs w:val="18"/>
        </w:rPr>
        <w:t xml:space="preserve">curl -fsSL https://raw.githubusercontent.com/Sayoner-000/gomemory/master/scripts/install.sh | bash</w:t>
      </w:r>
    </w:p>
    <w:p>
      <w:pPr>
        <w:spacing w:after="0" w:before="80"/>
      </w:pPr>
    </w:p>
    <w:p>
      <w:pPr>
        <w:spacing w:after="60" w:before="60"/>
      </w:pPr>
      <w:r>
        <w:rPr>
          <w:rFonts w:ascii="Arial" w:cs="Arial" w:eastAsia="Arial" w:hAnsi="Arial"/>
          <w:b/>
          <w:bCs/>
          <w:sz w:val="22"/>
          <w:szCs w:val="22"/>
        </w:rPr>
        <w:t xml:space="preserve">Windows (PowerShell):</w:t>
      </w:r>
    </w:p>
    <w:p>
      <w:pPr>
        <w:shd w:fill="F0F0F0" w:val="clear"/>
        <w:spacing w:after="20" w:before="20"/>
        <w:ind w:left="360" w:right="360"/>
      </w:pPr>
      <w:r>
        <w:rPr>
          <w:rFonts w:ascii="Courier New" w:cs="Courier New" w:eastAsia="Courier New" w:hAnsi="Courier New"/>
          <w:color w:val="2B547E"/>
          <w:sz w:val="18"/>
          <w:szCs w:val="18"/>
        </w:rPr>
        <w:t xml:space="preserve">irm https://raw.githubusercontent.com/Sayoner-000/gomemory/master/scripts/install.ps1 | iex</w:t>
      </w:r>
    </w:p>
    <w:p>
      <w:pPr>
        <w:spacing w:after="0" w:before="80"/>
      </w:pPr>
    </w:p>
    <w:p>
      <w:pPr>
        <w:spacing w:after="60" w:before="60"/>
      </w:pPr>
      <w:r>
        <w:rPr>
          <w:rFonts w:ascii="Arial" w:cs="Arial" w:eastAsia="Arial" w:hAnsi="Arial"/>
          <w:sz w:val="22"/>
          <w:szCs w:val="22"/>
        </w:rPr>
        <w:t xml:space="preserve">Para fijar una versión específica (Linux/macOS):</w:t>
      </w:r>
    </w:p>
    <w:p>
      <w:pPr>
        <w:shd w:fill="F0F0F0" w:val="clear"/>
        <w:spacing w:after="20" w:before="20"/>
        <w:ind w:left="360" w:right="360"/>
      </w:pPr>
      <w:r>
        <w:rPr>
          <w:rFonts w:ascii="Courier New" w:cs="Courier New" w:eastAsia="Courier New" w:hAnsi="Courier New"/>
          <w:color w:val="2B547E"/>
          <w:sz w:val="18"/>
          <w:szCs w:val="18"/>
        </w:rPr>
        <w:t xml:space="preserve">GOMEMORY_VERSION=v1.6.2 curl -fsSL .../install.sh | bash</w:t>
      </w:r>
    </w:p>
    <w:p>
      <w:pPr>
        <w:spacing w:after="0" w:before="80"/>
      </w:pPr>
    </w:p>
    <w:p>
      <w:pPr>
        <w:spacing w:after="60" w:before="60"/>
      </w:pPr>
      <w:r>
        <w:rPr>
          <w:rFonts w:ascii="Arial" w:cs="Arial" w:eastAsia="Arial" w:hAnsi="Arial"/>
          <w:sz w:val="22"/>
          <w:szCs w:val="22"/>
        </w:rPr>
        <w:t xml:space="preserve">Para desinstalar el binario del PATH:</w:t>
      </w:r>
    </w:p>
    <w:p>
      <w:pPr>
        <w:shd w:fill="F0F0F0" w:val="clear"/>
        <w:spacing w:after="20" w:before="20"/>
        <w:ind w:left="360" w:right="360"/>
      </w:pPr>
      <w:r>
        <w:rPr>
          <w:rFonts w:ascii="Courier New" w:cs="Courier New" w:eastAsia="Courier New" w:hAnsi="Courier New"/>
          <w:color w:val="2B547E"/>
          <w:sz w:val="18"/>
          <w:szCs w:val="18"/>
        </w:rPr>
        <w:t xml:space="preserve">curl -fsSL .../install.sh | bash -s -- --uninstall   # Linux/macOS</w:t>
      </w:r>
    </w:p>
    <w:p>
      <w:pPr>
        <w:shd w:fill="F0F0F0" w:val="clear"/>
        <w:spacing w:after="20" w:before="20"/>
        <w:ind w:left="360" w:right="360"/>
      </w:pPr>
      <w:r>
        <w:rPr>
          <w:rFonts w:ascii="Courier New" w:cs="Courier New" w:eastAsia="Courier New" w:hAnsi="Courier New"/>
          <w:color w:val="2B547E"/>
          <w:sz w:val="18"/>
          <w:szCs w:val="18"/>
        </w:rPr>
        <w:t xml:space="preserve">irm .../install.ps1 | iex -Uninstall                 # Windows</w:t>
      </w:r>
    </w:p>
    <w:p>
      <w:pPr>
        <w:pBdr>
          <w:bottom w:val="single" w:color="CC0000" w:sz="4"/>
        </w:pBdr>
        <w:spacing w:after="120" w:before="120"/>
      </w:pPr>
    </w:p>
    <w:p>
      <w:pPr>
        <w:shd w:fill="CC0000" w:val="clear"/>
        <w:spacing w:after="120" w:before="240"/>
        <w:ind w:left="120" w:right="120"/>
      </w:pPr>
      <w:r>
        <w:rPr>
          <w:rFonts w:ascii="Arial" w:cs="Arial" w:eastAsia="Arial" w:hAnsi="Arial"/>
          <w:b/>
          <w:bCs/>
          <w:color w:val="FFFFFF"/>
          <w:sz w:val="28"/>
          <w:szCs w:val="28"/>
        </w:rPr>
        <w:t xml:space="preserve">8. PRUEBAS Y VERIFICACIÓN</w:t>
      </w:r>
    </w:p>
    <w:p>
      <w:pPr>
        <w:spacing w:after="0" w:before="120"/>
      </w:pPr>
    </w:p>
    <w:p>
      <w:pPr>
        <w:spacing w:after="60" w:before="60"/>
      </w:pPr>
      <w:r>
        <w:rPr>
          <w:rFonts w:ascii="Arial" w:cs="Arial" w:eastAsia="Arial" w:hAnsi="Arial"/>
          <w:sz w:val="22"/>
          <w:szCs w:val="22"/>
        </w:rPr>
        <w:t xml:space="preserve">gomemory incluye tres niveles de pruebas automatizadas cubiertas por go test ./...:</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760"/>
      </w:tblGrid>
      <w:tr>
        <w:tc>
          <w:tcPr>
            <w:tcW w:type="dxa" w:w="2200"/>
            <w:tcBorders>
              <w:top w:val="single" w:color="CCCCCC" w:sz="1"/>
              <w:left w:val="single" w:color="CCCCCC" w:sz="1"/>
              <w:bottom w:val="single" w:color="CCCCCC" w:sz="1"/>
              <w:right w:val="single" w:color="CCCCCC" w:sz="1"/>
            </w:tcBorders>
            <w:shd w:fill="CC0000" w:val="clear"/>
            <w:tcMar>
              <w:top w:type="dxa" w:w="80"/>
              <w:left w:type="dxa" w:w="120"/>
              <w:bottom w:type="dxa" w:w="80"/>
              <w:right w:type="dxa" w:w="120"/>
            </w:tcMar>
          </w:tcPr>
          <w:p>
            <w:r>
              <w:rPr>
                <w:rFonts w:ascii="Arial" w:cs="Arial" w:eastAsia="Arial" w:hAnsi="Arial"/>
                <w:b/>
                <w:bCs/>
                <w:color w:val="FFFFFF"/>
                <w:sz w:val="20"/>
                <w:szCs w:val="20"/>
              </w:rPr>
              <w:t xml:space="preserve">Tipo de Test</w:t>
            </w:r>
          </w:p>
        </w:tc>
        <w:tc>
          <w:tcPr>
            <w:tcW w:type="dxa" w:w="3400"/>
            <w:tcBorders>
              <w:top w:val="single" w:color="CCCCCC" w:sz="1"/>
              <w:left w:val="single" w:color="CCCCCC" w:sz="1"/>
              <w:bottom w:val="single" w:color="CCCCCC" w:sz="1"/>
              <w:right w:val="single" w:color="CCCCCC" w:sz="1"/>
            </w:tcBorders>
            <w:shd w:fill="CC0000" w:val="clear"/>
            <w:tcMar>
              <w:top w:type="dxa" w:w="80"/>
              <w:left w:type="dxa" w:w="120"/>
              <w:bottom w:type="dxa" w:w="80"/>
              <w:right w:type="dxa" w:w="120"/>
            </w:tcMar>
          </w:tcPr>
          <w:p>
            <w:r>
              <w:rPr>
                <w:rFonts w:ascii="Arial" w:cs="Arial" w:eastAsia="Arial" w:hAnsi="Arial"/>
                <w:b/>
                <w:bCs/>
                <w:color w:val="FFFFFF"/>
                <w:sz w:val="20"/>
                <w:szCs w:val="20"/>
              </w:rPr>
              <w:t xml:space="preserve">Directorio</w:t>
            </w:r>
          </w:p>
        </w:tc>
        <w:tc>
          <w:tcPr>
            <w:tcW w:type="dxa" w:w="3760"/>
            <w:tcBorders>
              <w:top w:val="single" w:color="CCCCCC" w:sz="1"/>
              <w:left w:val="single" w:color="CCCCCC" w:sz="1"/>
              <w:bottom w:val="single" w:color="CCCCCC" w:sz="1"/>
              <w:right w:val="single" w:color="CCCCCC" w:sz="1"/>
            </w:tcBorders>
            <w:shd w:fill="CC0000" w:val="clear"/>
            <w:tcMar>
              <w:top w:type="dxa" w:w="80"/>
              <w:left w:type="dxa" w:w="120"/>
              <w:bottom w:type="dxa" w:w="80"/>
              <w:right w:type="dxa" w:w="120"/>
            </w:tcMar>
          </w:tcPr>
          <w:p>
            <w:r>
              <w:rPr>
                <w:rFonts w:ascii="Arial" w:cs="Arial" w:eastAsia="Arial" w:hAnsi="Arial"/>
                <w:b/>
                <w:bCs/>
                <w:color w:val="FFFFFF"/>
                <w:sz w:val="20"/>
                <w:szCs w:val="20"/>
              </w:rPr>
              <w:t xml:space="preserve">Qué Verifica</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Tests unitarios</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adapters/primary/mcp/server_test.go</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Servidor MCP: registro de tools, llamadas con argumentos válidos e inválidos, respuestas estructuradas.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Tests de integración</w:t>
            </w:r>
          </w:p>
        </w:tc>
        <w:tc>
          <w:tcPr>
            <w:tcW w:type="dxa" w:w="3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tests/integration/</w:t>
            </w:r>
          </w:p>
        </w:tc>
        <w:tc>
          <w:tcPr>
            <w:tcW w:type="dxa" w:w="3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Ciclo de vida de sesiones, estructura de plugins instalados, proceso de desinstalación completo.</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Tests de contrato</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tests/contract/</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Protocolo de memoria (Memory Protocol), revelación progresiva de información.</w:t>
            </w:r>
          </w:p>
        </w:tc>
      </w:tr>
    </w:tbl>
    <w:p>
      <w:pPr>
        <w:spacing w:after="0" w:before="120"/>
      </w:pPr>
    </w:p>
    <w:p>
      <w:pPr>
        <w:spacing w:after="80" w:before="180"/>
      </w:pPr>
      <w:r>
        <w:rPr>
          <w:rFonts w:ascii="Arial" w:cs="Arial" w:eastAsia="Arial" w:hAnsi="Arial"/>
          <w:b/>
          <w:bCs/>
          <w:color w:val="CC0000"/>
          <w:sz w:val="24"/>
          <w:szCs w:val="24"/>
        </w:rPr>
        <w:t xml:space="preserve">Comandos de Verificación</w:t>
      </w:r>
    </w:p>
    <w:p>
      <w:pPr>
        <w:shd w:fill="F0F0F0" w:val="clear"/>
        <w:spacing w:after="20" w:before="20"/>
        <w:ind w:left="360" w:right="360"/>
      </w:pPr>
      <w:r>
        <w:rPr>
          <w:rFonts w:ascii="Courier New" w:cs="Courier New" w:eastAsia="Courier New" w:hAnsi="Courier New"/>
          <w:color w:val="2B547E"/>
          <w:sz w:val="18"/>
          <w:szCs w:val="18"/>
        </w:rPr>
        <w:t xml:space="preserve">go build -o mem ./infrastructure/    # Compilar el binario</w:t>
      </w:r>
    </w:p>
    <w:p>
      <w:pPr>
        <w:shd w:fill="F0F0F0" w:val="clear"/>
        <w:spacing w:after="20" w:before="20"/>
        <w:ind w:left="360" w:right="360"/>
      </w:pPr>
      <w:r>
        <w:rPr>
          <w:rFonts w:ascii="Courier New" w:cs="Courier New" w:eastAsia="Courier New" w:hAnsi="Courier New"/>
          <w:color w:val="2B547E"/>
          <w:sz w:val="18"/>
          <w:szCs w:val="18"/>
        </w:rPr>
        <w:t xml:space="preserve">go vet ./...                          # Análisis estático</w:t>
      </w:r>
    </w:p>
    <w:p>
      <w:pPr>
        <w:shd w:fill="F0F0F0" w:val="clear"/>
        <w:spacing w:after="20" w:before="20"/>
        <w:ind w:left="360" w:right="360"/>
      </w:pPr>
      <w:r>
        <w:rPr>
          <w:rFonts w:ascii="Courier New" w:cs="Courier New" w:eastAsia="Courier New" w:hAnsi="Courier New"/>
          <w:color w:val="2B547E"/>
          <w:sz w:val="18"/>
          <w:szCs w:val="18"/>
        </w:rPr>
        <w:t xml:space="preserve">go test ./... -v                      # Ejecutar todos los tests</w:t>
      </w:r>
    </w:p>
    <w:p>
      <w:pPr>
        <w:pBdr>
          <w:bottom w:val="single" w:color="CC0000" w:sz="4"/>
        </w:pBdr>
        <w:spacing w:after="120" w:before="120"/>
      </w:pP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60" w:before="60"/>
      <w:jc w:val="center"/>
    </w:pPr>
    <w:r>
      <w:rPr>
        <w:rFonts w:ascii="Arial" w:cs="Arial" w:eastAsia="Arial" w:hAnsi="Arial"/>
        <w:color w:val="888888"/>
        <w:sz w:val="16"/>
        <w:szCs w:val="16"/>
      </w:rPr>
      <w:t xml:space="preserve">Autor: Jose Gomez (@Sayoner-000)  |  github.com/Sayoner-000/gomemory  |  MIT License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hd w:fill="CC0000" w:val="clear"/>
      <w:tabs>
        <w:tab w:val="right" w:pos="9026"/>
      </w:tabs>
      <w:spacing w:after="80" w:before="80"/>
      <w:ind w:left="120" w:right="120"/>
    </w:pPr>
    <w:r>
      <w:rPr>
        <w:rFonts w:ascii="Arial" w:cs="Arial" w:eastAsia="Arial" w:hAnsi="Arial"/>
        <w:color w:val="FFFFFF"/>
        <w:sz w:val="18"/>
        <w:szCs w:val="18"/>
      </w:rPr>
      <w:t xml:space="preserve">gomemory — Documentación Técnica v1.6.2</w:t>
    </w:r>
    <w:r>
      <w:rPr>
        <w:rFonts w:ascii="Arial" w:cs="Arial" w:eastAsia="Arial" w:hAnsi="Arial"/>
        <w:sz w:val="18"/>
        <w:szCs w:val="18"/>
      </w:rPr>
      <w:t xml:space="preserve">	</w:t>
    </w:r>
    <w:r>
      <w:rPr>
        <w:rFonts w:ascii="Arial" w:cs="Arial" w:eastAsia="Arial" w:hAnsi="Arial"/>
        <w:color w:val="FFFFFF"/>
        <w:sz w:val="18"/>
        <w:szCs w:val="18"/>
      </w:rPr>
      <w:t xml:space="preserve">Página </w:t>
    </w:r>
    <w:r>
      <w:rPr>
        <w:rFonts w:ascii="Arial" w:cs="Arial" w:eastAsia="Arial" w:hAnsi="Arial"/>
        <w:color w:val="FFFFFF"/>
        <w:sz w:val="18"/>
        <w:szCs w:val="18"/>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hd w:fill="CC0000" w:val="clear"/>
      <w:spacing w:after="240" w:before="240"/>
      <w:outlineLvl w:val="0"/>
    </w:pPr>
    <w:rPr>
      <w:rFonts w:ascii="Arial" w:cs="Arial" w:eastAsia="Arial" w:hAnsi="Arial"/>
      <w:b/>
      <w:bCs/>
      <w:color w:val="FFFFFF"/>
      <w:sz w:val="32"/>
      <w:szCs w:val="3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2026-06-23T10:29:57.571Z</dcterms:created>
  <dcterms:modified xsi:type="dcterms:W3CDTF">2026-06-23T10:29:57.571Z</dcterms:modified>
</cp:coreProperties>
</file>

<file path=docProps/custom.xml><?xml version="1.0" encoding="utf-8"?>
<Properties xmlns="http://schemas.openxmlformats.org/officeDocument/2006/custom-properties" xmlns:vt="http://schemas.openxmlformats.org/officeDocument/2006/docPropsVTypes"/>
</file>