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 w:after="80"/>
        <w:jc w:val="center"/>
      </w:pPr>
      <w:r>
        <w:rPr>
          <w:rFonts w:ascii="Arial" w:cs="Arial" w:eastAsia="Arial" w:hAnsi="Arial"/>
          <w:b/>
          <w:bCs/>
          <w:color w:val="1F3864"/>
          <w:sz w:val="52"/>
          <w:szCs w:val="52"/>
        </w:rPr>
        <w:t xml:space="preserve">HIGH-LEVEL DESIGN</w:t>
      </w:r>
    </w:p>
    <w:p>
      <w:pPr>
        <w:pBdr>
          <w:bottom w:val="single" w:color="2E75B6" w:sz="8" w:space="1"/>
        </w:pBdr>
        <w:spacing w:before="0" w:after="40"/>
        <w:jc w:val="center"/>
      </w:pPr>
      <w:r>
        <w:rPr>
          <w:rFonts w:ascii="Arial" w:cs="Arial" w:eastAsia="Arial" w:hAnsi="Arial"/>
          <w:b/>
          <w:bCs/>
          <w:color w:val="2E75B6"/>
          <w:sz w:val="38"/>
          <w:szCs w:val="38"/>
        </w:rPr>
        <w:t xml:space="preserve">Lightweight Finance API</w:t>
      </w:r>
    </w:p>
    <w:p>
      <w:pPr>
        <w:spacing w:before="40" w:after="240"/>
        <w:jc w:val="center"/>
      </w:pPr>
      <w:r>
        <w:rPr>
          <w:rFonts w:ascii="Arial" w:cs="Arial" w:eastAsia="Arial" w:hAnsi="Arial"/>
          <w:i/>
          <w:iCs/>
          <w:color w:val="595959"/>
          <w:sz w:val="22"/>
          <w:szCs w:val="22"/>
        </w:rPr>
        <w:t xml:space="preserve">System architecture, component design, data flow, and technology decisions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Document ID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DOC-03 — High-Level Design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Project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Lightweight Finance API using FastAPI</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Author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Sayu V  |  Yenepoya University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Submitted To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IBM SkillsBuild Student Project Programme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Date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20 March 2026</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Version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1.0  |  Baseline — Implementation Ready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Inputs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DOC-01 Project Proposal  •  DOC-02 PRD</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D6E4F0" w:val="clear"/>
            <w:tcMar>
              <w:top w:type="dxa" w:w="80"/>
              <w:left w:type="dxa" w:w="140"/>
              <w:bottom w:type="dxa" w:w="80"/>
              <w:right w:type="dxa" w:w="140"/>
            </w:tcMar>
          </w:tcPr>
          <w:p>
            <w:r>
              <w:rPr>
                <w:rFonts w:ascii="Arial" w:cs="Arial" w:eastAsia="Arial" w:hAnsi="Arial"/>
                <w:b/>
                <w:bCs/>
                <w:color w:val="1F3864"/>
                <w:sz w:val="20"/>
                <w:szCs w:val="20"/>
              </w:rPr>
              <w:t xml:space="preserve">Outputs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40"/>
              <w:bottom w:type="dxa" w:w="80"/>
              <w:right w:type="dxa" w:w="140"/>
            </w:tcMar>
          </w:tcPr>
          <w:p>
            <w:r>
              <w:rPr>
                <w:rFonts w:ascii="Arial" w:cs="Arial" w:eastAsia="Arial" w:hAnsi="Arial"/>
                <w:color w:val="2C2C2C"/>
                <w:sz w:val="20"/>
                <w:szCs w:val="20"/>
              </w:rPr>
              <w:t xml:space="preserve">DOC-04 LLD  •  DOC-05 API Reference  •  DOC-08 Final Report</w:t>
            </w:r>
          </w:p>
        </w:tc>
      </w:tr>
    </w:tbl>
    <w:p>
      <w:pPr>
        <w:spacing w:before="60" w:after="60"/>
      </w:pPr>
      <w:r>
        <w:t xml:space="preserve"/>
      </w:r>
    </w:p>
    <w:p>
      <w:pPr>
        <w:pBdr>
          <w:bottom w:val="single" w:color="DDDDDD" w:sz="4" w:space="1"/>
        </w:pBdr>
        <w:spacing w:before="100" w:after="100"/>
      </w:pPr>
      <w:r>
        <w:t xml:space="preserve"/>
      </w:r>
    </w:p>
    <w:p>
      <w:pPr>
        <w:spacing w:before="100"/>
        <w:jc w:val="center"/>
      </w:pPr>
      <w:r>
        <w:rPr>
          <w:rFonts w:ascii="Arial" w:cs="Arial" w:eastAsia="Arial" w:hAnsi="Arial"/>
          <w:i/>
          <w:iCs/>
          <w:color w:val="595959"/>
          <w:sz w:val="18"/>
          <w:szCs w:val="18"/>
        </w:rPr>
        <w:t xml:space="preserve">This document describes the architecture of the system at a high level. Implementation details are covered in DOC-04 (LLD).</w:t>
      </w: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  Overview</w:t>
            </w:r>
          </w:p>
        </w:tc>
      </w:tr>
    </w:tbl>
    <w:p>
      <w:pPr>
        <w:spacing w:before="60" w:after="60"/>
      </w:pPr>
      <w:r>
        <w:t xml:space="preserve"/>
      </w:r>
    </w:p>
    <w:p>
      <w:pPr>
        <w:pStyle w:val="Heading2"/>
        <w:spacing w:before="200" w:after="80"/>
      </w:pPr>
      <w:r>
        <w:rPr>
          <w:rFonts w:ascii="Arial" w:cs="Arial" w:eastAsia="Arial" w:hAnsi="Arial"/>
          <w:b/>
          <w:bCs/>
          <w:color w:val="2E75B6"/>
          <w:sz w:val="26"/>
          <w:szCs w:val="26"/>
        </w:rPr>
        <w:t xml:space="preserve">1.1  Purpose of This Document</w:t>
      </w:r>
    </w:p>
    <w:p>
      <w:pPr>
        <w:spacing w:before="60" w:after="80"/>
      </w:pPr>
      <w:r>
        <w:rPr>
          <w:rFonts w:ascii="Arial" w:cs="Arial" w:eastAsia="Arial" w:hAnsi="Arial"/>
          <w:color w:val="2C2C2C"/>
          <w:sz w:val="22"/>
          <w:szCs w:val="22"/>
        </w:rPr>
        <w:t xml:space="preserve">The High-Level Design (HLD) describes the architecture of the Lightweight Finance API at a system level. It defines how the major components are structured, how they interact, and how data flows through the system from an incoming HTTP request to a returned JSON response. It does not describe individual functions, line-by-line logic, or implementation code — those are the responsibility of the Low-Level Design (DOC-04).</w:t>
      </w:r>
    </w:p>
    <w:p>
      <w:pPr>
        <w:spacing w:before="60" w:after="60"/>
      </w:pPr>
      <w:r>
        <w:t xml:space="preserve"/>
      </w:r>
    </w:p>
    <w:p>
      <w:pPr>
        <w:spacing w:before="60" w:after="80"/>
      </w:pPr>
      <w:r>
        <w:rPr>
          <w:rFonts w:ascii="Arial" w:cs="Arial" w:eastAsia="Arial" w:hAnsi="Arial"/>
          <w:color w:val="2C2C2C"/>
          <w:sz w:val="22"/>
          <w:szCs w:val="22"/>
        </w:rPr>
        <w:t xml:space="preserve">This document serves as the bridge between what the system must do (PRD, DOC-02) and how each piece of it is built (LLD, DOC-04). Any developer reading this document should be able to understand the system's structure without reading the source code.</w:t>
      </w:r>
    </w:p>
    <w:p>
      <w:pPr>
        <w:spacing w:before="60" w:after="60"/>
      </w:pPr>
      <w:r>
        <w:t xml:space="preserve"/>
      </w:r>
    </w:p>
    <w:p>
      <w:pPr>
        <w:pStyle w:val="Heading2"/>
        <w:spacing w:before="200" w:after="80"/>
      </w:pPr>
      <w:r>
        <w:rPr>
          <w:rFonts w:ascii="Arial" w:cs="Arial" w:eastAsia="Arial" w:hAnsi="Arial"/>
          <w:b/>
          <w:bCs/>
          <w:color w:val="2E75B6"/>
          <w:sz w:val="26"/>
          <w:szCs w:val="26"/>
        </w:rPr>
        <w:t xml:space="preserve">1.2  Architectural Style</w:t>
      </w:r>
    </w:p>
    <w:p>
      <w:pPr>
        <w:spacing w:before="60" w:after="80"/>
      </w:pPr>
      <w:r>
        <w:rPr>
          <w:rFonts w:ascii="Arial" w:cs="Arial" w:eastAsia="Arial" w:hAnsi="Arial"/>
          <w:color w:val="2C2C2C"/>
          <w:sz w:val="22"/>
          <w:szCs w:val="22"/>
        </w:rPr>
        <w:t xml:space="preserve">The Lightweight Finance API follows a Layered (N-Tier) Monolithic Architecture. This means the system is structured as a single deployable unit with clear internal layers, each with a defined responsibility. This is the appropriate architecture for a focused, single-purpose API of this scope.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Architecture Pattern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Chosen for This Project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Layered Monolith</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Single deployable unit with internal layers separated by responsibility</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Simple to develop, understand, test, and containerise at this scale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REST API</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Resources are exposed as HTTP endpoints; stateless request-response model</w:t>
            </w:r>
          </w:p>
        </w:tc>
        <w:tc>
          <w:tcPr>
            <w:tcW w:type="dxa" w:w="3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Industry standard for APIs; aligns with cloud computing principles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Stateless Design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 session state is stored on the server between requests</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Enables horizontal scaling; fits serverless deployment model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20"/>
              <w:right w:type="dxa" w:w="200"/>
            </w:tcMar>
          </w:tcPr>
          <w:p>
            <w:r>
              <w:rPr>
                <w:rFonts w:ascii="Arial" w:cs="Arial" w:eastAsia="Arial" w:hAnsi="Arial"/>
                <w:b/>
                <w:bCs/>
                <w:color w:val="C55A11"/>
                <w:sz w:val="22"/>
                <w:szCs w:val="22"/>
              </w:rPr>
              <w:t xml:space="preserve">Why not microservices?</w:t>
            </w:r>
          </w:p>
        </w:tc>
      </w:tr>
      <w:tr>
        <w:tc>
          <w:tcPr>
            <w:tcW w:type="dxa" w:w="9360"/>
            <w:tcBorders>
              <w:top w:val="none" w:color="FFFFFF" w:sz="0"/>
              <w:left w:val="none" w:color="FFFFFF" w:sz="0"/>
              <w:bottom w:val="none" w:color="FFFFFF" w:sz="0"/>
              <w:right w:val="none" w:color="FFFFFF" w:sz="0"/>
            </w:tcBorders>
            <w:shd w:fill="FCE4D6" w:val="clear"/>
            <w:tcMar>
              <w:top w:type="dxa" w:w="0"/>
              <w:left w:type="dxa" w:w="200"/>
              <w:bottom w:type="dxa" w:w="140"/>
              <w:right w:type="dxa" w:w="200"/>
            </w:tcMar>
          </w:tcPr>
          <w:p>
            <w:r>
              <w:rPr>
                <w:rFonts w:ascii="Arial" w:cs="Arial" w:eastAsia="Arial" w:hAnsi="Arial"/>
                <w:color w:val="2C2C2C"/>
                <w:sz w:val="20"/>
                <w:szCs w:val="20"/>
              </w:rPr>
              <w:t xml:space="preserve">Microservices are appropriate when teams, deployment cycles, or scalability needs of different parts of a system diverge significantly. For a five-endpoint API built by one developer, a monolith is the correct choice — it avoids network overhead, service discovery complexity, and distributed system failures that would add noise without adding value.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2.  System Architecture Diagram</w:t>
            </w:r>
          </w:p>
        </w:tc>
      </w:tr>
    </w:tbl>
    <w:p>
      <w:pPr>
        <w:spacing w:before="60" w:after="60"/>
      </w:pPr>
      <w:r>
        <w:t xml:space="preserve"/>
      </w:r>
    </w:p>
    <w:p>
      <w:pPr>
        <w:spacing w:before="60" w:after="80"/>
      </w:pPr>
      <w:r>
        <w:rPr>
          <w:rFonts w:ascii="Arial" w:cs="Arial" w:eastAsia="Arial" w:hAnsi="Arial"/>
          <w:color w:val="2C2C2C"/>
          <w:sz w:val="22"/>
          <w:szCs w:val="22"/>
        </w:rPr>
        <w:t xml:space="preserve">The following diagram shows the complete system architecture for the Lightweight Finance API v1. Each layer is labelled with its technology, responsibility, and the data format that crosses its boundaries.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CLIENT LAYER                               │</w:t>
            </w:r>
          </w:p>
          <w:p>
            <w:pPr>
              <w:spacing w:before="20" w:after="20"/>
            </w:pPr>
            <w:r>
              <w:rPr>
                <w:rFonts w:ascii="Courier New" w:cs="Courier New" w:eastAsia="Courier New" w:hAnsi="Courier New"/>
                <w:color w:val="D4D4D4"/>
                <w:sz w:val="18"/>
                <w:szCs w:val="18"/>
              </w:rPr>
              <w:t xml:space="preserve">  │   Postman  |  Swagger UI (/docs)  |  curl / httpx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HTTP Request (JSON body)     │</w:t>
            </w:r>
          </w:p>
          <w:p>
            <w:pPr>
              <w:spacing w:before="20" w:after="20"/>
            </w:pPr>
            <w:r>
              <w:rPr>
                <w:rFonts w:ascii="Courier New" w:cs="Courier New" w:eastAsia="Courier New" w:hAnsi="Courier New"/>
                <w:color w:val="D4D4D4"/>
                <w:sz w:val="18"/>
                <w:szCs w:val="18"/>
              </w:rPr>
              <w:t xml:space="preserve">            ↓                              ↑  HTTP Response (JSON)</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API LAYER  —  FastAPI + Uvicorn              │</w:t>
            </w:r>
          </w:p>
          <w:p>
            <w:pPr>
              <w:spacing w:before="20" w:after="20"/>
            </w:pPr>
            <w:r>
              <w:rPr>
                <w:rFonts w:ascii="Courier New" w:cs="Courier New" w:eastAsia="Courier New" w:hAnsi="Courier New"/>
                <w:color w:val="D4D4D4"/>
                <w:sz w:val="18"/>
                <w:szCs w:val="18"/>
              </w:rPr>
              <w:t xml:space="preserve">  │  ┌────────────┐  ┌────────────┐  ┌────────────┐  │</w:t>
            </w:r>
          </w:p>
          <w:p>
            <w:pPr>
              <w:spacing w:before="20" w:after="20"/>
            </w:pPr>
            <w:r>
              <w:rPr>
                <w:rFonts w:ascii="Courier New" w:cs="Courier New" w:eastAsia="Courier New" w:hAnsi="Courier New"/>
                <w:color w:val="D4D4D4"/>
                <w:sz w:val="18"/>
                <w:szCs w:val="18"/>
              </w:rPr>
              <w:t xml:space="preserve">  │  │   Router   │  │ Validation │  │  OpenAPI    │  │</w:t>
            </w:r>
          </w:p>
          <w:p>
            <w:pPr>
              <w:spacing w:before="20" w:after="20"/>
            </w:pPr>
            <w:r>
              <w:rPr>
                <w:rFonts w:ascii="Courier New" w:cs="Courier New" w:eastAsia="Courier New" w:hAnsi="Courier New"/>
                <w:color w:val="D4D4D4"/>
                <w:sz w:val="18"/>
                <w:szCs w:val="18"/>
              </w:rPr>
              <w:t xml:space="preserve">  │  │  (main.py) │  │ (Pydantic) │  │  (/docs)    │  │</w:t>
            </w:r>
          </w:p>
          <w:p>
            <w:pPr>
              <w:spacing w:before="20" w:after="20"/>
            </w:pPr>
            <w:r>
              <w:rPr>
                <w:rFonts w:ascii="Courier New" w:cs="Courier New" w:eastAsia="Courier New" w:hAnsi="Courier New"/>
                <w:color w:val="D4D4D4"/>
                <w:sz w:val="18"/>
                <w:szCs w:val="18"/>
              </w:rPr>
              <w:t xml:space="preserve">  │  └────────────┘  └────────────┘  └────────────┘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Validated Python objects     │</w:t>
            </w:r>
          </w:p>
          <w:p>
            <w:pPr>
              <w:spacing w:before="20" w:after="20"/>
            </w:pPr>
            <w:r>
              <w:rPr>
                <w:rFonts w:ascii="Courier New" w:cs="Courier New" w:eastAsia="Courier New" w:hAnsi="Courier New"/>
                <w:color w:val="D4D4D4"/>
                <w:sz w:val="18"/>
                <w:szCs w:val="18"/>
              </w:rPr>
              <w:t xml:space="preserve">            ↓                              ↑  Computed results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BUSINESS LOGIC LAYER  —  Route Handlers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add_income()     add_expense()     get_summary()        │</w:t>
            </w:r>
          </w:p>
          <w:p>
            <w:pPr>
              <w:spacing w:before="20" w:after="20"/>
            </w:pPr>
            <w:r>
              <w:rPr>
                <w:rFonts w:ascii="Courier New" w:cs="Courier New" w:eastAsia="Courier New" w:hAnsi="Courier New"/>
                <w:color w:val="D4D4D4"/>
                <w:sz w:val="18"/>
                <w:szCs w:val="18"/>
              </w:rPr>
              <w:t xml:space="preserve">  │   set_budget()     get_budget_status()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Read / write Python lists    │</w:t>
            </w:r>
          </w:p>
          <w:p>
            <w:pPr>
              <w:spacing w:before="20" w:after="20"/>
            </w:pPr>
            <w:r>
              <w:rPr>
                <w:rFonts w:ascii="Courier New" w:cs="Courier New" w:eastAsia="Courier New" w:hAnsi="Courier New"/>
                <w:color w:val="D4D4D4"/>
                <w:sz w:val="18"/>
                <w:szCs w:val="18"/>
              </w:rPr>
              <w:t xml:space="preserve">            ↓                              ↑  Raw float values</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DATA LAYER  —  In-Memory Storage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incomes  = []   expenses = []   budget = 0.0           │</w:t>
            </w:r>
          </w:p>
          <w:p>
            <w:pPr>
              <w:spacing w:before="20" w:after="20"/>
            </w:pPr>
            <w:r>
              <w:rPr>
                <w:rFonts w:ascii="Courier New" w:cs="Courier New" w:eastAsia="Courier New" w:hAnsi="Courier New"/>
                <w:color w:val="D4D4D4"/>
                <w:sz w:val="18"/>
                <w:szCs w:val="18"/>
              </w:rPr>
              <w:t xml:space="preserve">  │                                                           │</w:t>
            </w:r>
          </w:p>
          <w:p>
            <w:pPr>
              <w:spacing w:before="20" w:after="20"/>
            </w:pPr>
            <w:r>
              <w:rPr>
                <w:rFonts w:ascii="Courier New" w:cs="Courier New" w:eastAsia="Courier New" w:hAnsi="Courier New"/>
                <w:color w:val="D4D4D4"/>
                <w:sz w:val="18"/>
                <w:szCs w:val="18"/>
              </w:rPr>
              <w:t xml:space="preserve">  │   [v2: Replace with PostgreSQL via SQLModel ORM]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          CONTAINER LAYER  —  Docker                        │</w:t>
            </w:r>
          </w:p>
          <w:p>
            <w:pPr>
              <w:spacing w:before="20" w:after="20"/>
            </w:pPr>
            <w:r>
              <w:rPr>
                <w:rFonts w:ascii="Courier New" w:cs="Courier New" w:eastAsia="Courier New" w:hAnsi="Courier New"/>
                <w:color w:val="D4D4D4"/>
                <w:sz w:val="18"/>
                <w:szCs w:val="18"/>
              </w:rPr>
              <w:t xml:space="preserve">  │   Image: python:3.10   Port: 8000   CMD: uvicorn          │</w:t>
            </w:r>
          </w:p>
          <w:p>
            <w:pPr>
              <w:spacing w:before="20" w:after="20"/>
            </w:pPr>
            <w:r>
              <w:rPr>
                <w:rFonts w:ascii="Courier New" w:cs="Courier New" w:eastAsia="Courier New" w:hAnsi="Courier New"/>
                <w:color w:val="D4D4D4"/>
                <w:sz w:val="18"/>
                <w:szCs w:val="18"/>
              </w:rPr>
              <w:t xml:space="preserve">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DD9" w:val="clear"/>
            <w:tcMar>
              <w:top w:type="dxa" w:w="120"/>
              <w:left w:type="dxa" w:w="200"/>
              <w:bottom w:type="dxa" w:w="20"/>
              <w:right w:type="dxa" w:w="200"/>
            </w:tcMar>
          </w:tcPr>
          <w:p>
            <w:r>
              <w:rPr>
                <w:rFonts w:ascii="Arial" w:cs="Arial" w:eastAsia="Arial" w:hAnsi="Arial"/>
                <w:b/>
                <w:bCs/>
                <w:color w:val="0F6E56"/>
                <w:sz w:val="22"/>
                <w:szCs w:val="22"/>
              </w:rPr>
              <w:t xml:space="preserve">Reading the diagram</w:t>
            </w:r>
          </w:p>
        </w:tc>
      </w:tr>
      <w:tr>
        <w:tc>
          <w:tcPr>
            <w:tcW w:type="dxa" w:w="9360"/>
            <w:tcBorders>
              <w:top w:val="none" w:color="FFFFFF" w:sz="0"/>
              <w:left w:val="none" w:color="FFFFFF" w:sz="0"/>
              <w:bottom w:val="none" w:color="FFFFFF" w:sz="0"/>
              <w:right w:val="none" w:color="FFFFFF" w:sz="0"/>
            </w:tcBorders>
            <w:shd w:fill="D6EDD9" w:val="clear"/>
            <w:tcMar>
              <w:top w:type="dxa" w:w="0"/>
              <w:left w:type="dxa" w:w="200"/>
              <w:bottom w:type="dxa" w:w="140"/>
              <w:right w:type="dxa" w:w="200"/>
            </w:tcMar>
          </w:tcPr>
          <w:p>
            <w:r>
              <w:rPr>
                <w:rFonts w:ascii="Arial" w:cs="Arial" w:eastAsia="Arial" w:hAnsi="Arial"/>
                <w:color w:val="2C2C2C"/>
                <w:sz w:val="20"/>
                <w:szCs w:val="20"/>
              </w:rPr>
              <w:t xml:space="preserve">Data flows top-to-bottom on the request path and bottom-to-top on the response path. Every layer has a single defined responsibility. No layer skips another — the client never touches the data layer directly, and business logic never sends HTTP responses without going through the API layer.</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3.  Component Descriptions</w:t>
            </w:r>
          </w:p>
        </w:tc>
      </w:tr>
    </w:tbl>
    <w:p>
      <w:pPr>
        <w:spacing w:before="60" w:after="60"/>
      </w:pPr>
      <w:r>
        <w:t xml:space="preserve"/>
      </w:r>
    </w:p>
    <w:p>
      <w:pPr>
        <w:spacing w:before="60" w:after="80"/>
      </w:pPr>
      <w:r>
        <w:rPr>
          <w:rFonts w:ascii="Arial" w:cs="Arial" w:eastAsia="Arial" w:hAnsi="Arial"/>
          <w:color w:val="2C2C2C"/>
          <w:sz w:val="22"/>
          <w:szCs w:val="22"/>
        </w:rPr>
        <w:t xml:space="preserve">Each component in the architecture has a single, clearly defined responsibility. This section describes what each component is, what it does, and what it does not do.</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3.1  Client Layer — HTTP Clients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What it 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Any HTTP client capable of sending JSON POST/GET requests to localhost:8000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Examples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Postman (primary testing tool), Swagger UI at /docs, curl, httpx (pytest)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Responsibility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Construct valid HTTP requests with correct JSON bodies and read JSON responses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Does NOT do</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Validate data, apply business logic, or store anything — these are server responsibilities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Communication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HTTP/1.1 over TCP on port 8000. All request bodies are application/json. All responses are application/json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3.2  API Layer — FastAPI + Uvicorn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What it 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The web framework layer that receives HTTP requests, routes them to handlers, and returns HTTP responses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Framework</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 — a modern Python ASGI web framework built on Starlette and Pydantic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Server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Uvicorn — an ASGI server that runs the FastAPI application and handles concurrent connections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Routing</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 decorators (@app.post, @app.get) map URL paths to Python handler functions in main.py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Validation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models in models.py automatically validate all incoming request body data before it reaches route handlers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Documentation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 auto-generates OpenAPI 3.0 spec from route decorators and Pydantic models; served as Swagger UI at /docs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Error handling</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 422 returned automatically by Pydantic for schema violations; HTTP 400 raised explicitly by route handlers for business rule violations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Does NOT do</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Store data, perform calculations, or make business decisions — those are the business logic layer's job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Listens on 0.0.0.0:8000 inside the Docker container, mapped to localhost:8000 on the host machine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3.3  Business Logic Layer — Route Handlers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What it 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The Python functions in main.py that implement the financial calculations and state updates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Location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Defined in main.py as FastAPI route handler functions decorated with @app.post / @app.get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Handlers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add_income(), add_expense(), get_summary(), set_budget(), get_budget_status()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Responsibility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Append amounts to in-memory lists, compute aggregates (sum, difference), manage budget state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Input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Validated Pydantic model objects — guaranteed to be correct types and values before reaching this layer</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Output</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Python dicts that FastAPI serialises to JSON for the HTTP response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Does NOT 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Parse raw HTTP requests, validate input types, or handle HTTP errors directly — FastAPI and Pydantic do that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3.4  Data Layer — In-Memory Storage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What it 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Three module-level variables in main.py that act as the runtime data store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Variables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incomes: list[float], expenses: list[float], budget: float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Persistence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None — data exists only while the Python process is running. All data is lost on server restart.</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Thread safety</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Not thread-safe in the current implementation. Acceptable for single-user, demo use. Would require a lock or proper DB for concurrent access.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v2 replacement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55A11"/>
                <w:sz w:val="20"/>
                <w:szCs w:val="20"/>
              </w:rPr>
              <w:t xml:space="preserve">PostgreSQL via SQLModel ORM. The business logic layer will be updated to use async DB sessions. The API layer requires no changes.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Does NOT do</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Persist to disk, validate data, or enforce constraints — validation happens in the layer above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3.5  Container Layer — Docker</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Attribute</w:t>
            </w:r>
          </w:p>
        </w:tc>
        <w:tc>
          <w:tcPr>
            <w:tcW w:type="dxa" w:w="6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Detail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What it is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 Docker container that packages the Python runtime, application code, and all dependencies into a portable, reproducible image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Base image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python:3.10 (official Python image from Docker Hub)</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Working dir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/app</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Build steps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COPY application files → RUN pip install -r requirements.txt → CMD uvicorn main:app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Exposed port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8000 — mapped to host port 8000 with -p 8000:8000</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Startup command</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uvicorn main:app --host 0.0.0.0 --port 8000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Does NOT do</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Provide persistence, load balancing, or service discovery — those are infrastructure concerns beyond this project's scope</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4.  Data Flow</w:t>
            </w:r>
          </w:p>
        </w:tc>
      </w:tr>
    </w:tbl>
    <w:p>
      <w:pPr>
        <w:spacing w:before="60" w:after="60"/>
      </w:pPr>
      <w:r>
        <w:t xml:space="preserve"/>
      </w:r>
    </w:p>
    <w:p>
      <w:pPr>
        <w:spacing w:before="60" w:after="80"/>
      </w:pPr>
      <w:r>
        <w:rPr>
          <w:rFonts w:ascii="Arial" w:cs="Arial" w:eastAsia="Arial" w:hAnsi="Arial"/>
          <w:color w:val="2C2C2C"/>
          <w:sz w:val="22"/>
          <w:szCs w:val="22"/>
        </w:rPr>
        <w:t xml:space="preserve">This section traces the exact path of data through the system for each type of operation. Understanding the data flow confirms that the architecture works correctly end-to-end.</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4.1  Happy Path — Successful POST /expense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Step 1: Client sends HTTP POST to /expense</w:t>
            </w:r>
          </w:p>
          <w:p>
            <w:pPr>
              <w:spacing w:before="20" w:after="20"/>
            </w:pPr>
            <w:r>
              <w:rPr>
                <w:rFonts w:ascii="Courier New" w:cs="Courier New" w:eastAsia="Courier New" w:hAnsi="Courier New"/>
                <w:color w:val="D4D4D4"/>
                <w:sz w:val="18"/>
                <w:szCs w:val="18"/>
              </w:rPr>
              <w:t xml:space="preserve">          Body: { "amount": 150.75, "category": "Groceries"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2: Uvicorn receives the TCP connection, parses HTTP headers and body</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Step 3: FastAPI router matches path /expense to add_expense() handler</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Step 4: FastAPI instantiates Expense(amount=150.75, category='Groceries')</w:t>
            </w:r>
          </w:p>
          <w:p>
            <w:pPr>
              <w:spacing w:before="20" w:after="20"/>
            </w:pPr>
            <w:r>
              <w:rPr>
                <w:rFonts w:ascii="Courier New" w:cs="Courier New" w:eastAsia="Courier New" w:hAnsi="Courier New"/>
                <w:color w:val="D4D4D4"/>
                <w:sz w:val="18"/>
                <w:szCs w:val="18"/>
              </w:rPr>
              <w:t xml:space="preserve">          Pydantic validates: amount=150.75 &gt; 0 ✓  category length=9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Step 5: add_expense(data: Expense) is called with validated object</w:t>
            </w:r>
          </w:p>
          <w:p>
            <w:pPr>
              <w:spacing w:before="20" w:after="20"/>
            </w:pPr>
            <w:r>
              <w:rPr>
                <w:rFonts w:ascii="Courier New" w:cs="Courier New" w:eastAsia="Courier New" w:hAnsi="Courier New"/>
                <w:color w:val="D4D4D4"/>
                <w:sz w:val="18"/>
                <w:szCs w:val="18"/>
              </w:rPr>
              <w:t xml:space="preserve">          Business logic: if data.amount &lt;= 0: raise HTTPException(400) -- skipped</w:t>
            </w:r>
          </w:p>
          <w:p>
            <w:pPr>
              <w:spacing w:before="20" w:after="20"/>
            </w:pPr>
            <w:r>
              <w:rPr>
                <w:rFonts w:ascii="Courier New" w:cs="Courier New" w:eastAsia="Courier New" w:hAnsi="Courier New"/>
                <w:color w:val="D4D4D4"/>
                <w:sz w:val="18"/>
                <w:szCs w:val="18"/>
              </w:rPr>
              <w:t xml:space="preserve">          expenses.append(150.75)  --&gt;  expenses = [150.75]</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Step 6: Handler returns { 'message': 'Expense added successfully'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Step 7: FastAPI serialises dict to JSON, returns HTTP 200</w:t>
            </w:r>
          </w:p>
          <w:p>
            <w:pPr>
              <w:spacing w:before="20" w:after="20"/>
            </w:pPr>
            <w:r>
              <w:rPr>
                <w:rFonts w:ascii="Courier New" w:cs="Courier New" w:eastAsia="Courier New" w:hAnsi="Courier New"/>
                <w:color w:val="D4D4D4"/>
                <w:sz w:val="18"/>
                <w:szCs w:val="18"/>
              </w:rPr>
              <w:t xml:space="preserve">          Response: { "message": "Expense added successfully" }</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4.2  Validation Failure — POST /expense with invalid amount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Step 1: Client sends HTTP POST to /expense</w:t>
            </w:r>
          </w:p>
          <w:p>
            <w:pPr>
              <w:spacing w:before="20" w:after="20"/>
            </w:pPr>
            <w:r>
              <w:rPr>
                <w:rFonts w:ascii="Courier New" w:cs="Courier New" w:eastAsia="Courier New" w:hAnsi="Courier New"/>
                <w:color w:val="D4D4D4"/>
                <w:sz w:val="18"/>
                <w:szCs w:val="18"/>
              </w:rPr>
              <w:t xml:space="preserve">          Body: { "amount": -50, "category": "Groceries" }</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Step 2: Uvicorn receives request, FastAPI routes to add_expense()</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Step 3: FastAPI instantiates Expense(amount=-50, category='Groceries')</w:t>
            </w:r>
          </w:p>
          <w:p>
            <w:pPr>
              <w:spacing w:before="20" w:after="20"/>
            </w:pPr>
            <w:r>
              <w:rPr>
                <w:rFonts w:ascii="Courier New" w:cs="Courier New" w:eastAsia="Courier New" w:hAnsi="Courier New"/>
                <w:color w:val="D4D4D4"/>
                <w:sz w:val="18"/>
                <w:szCs w:val="18"/>
              </w:rPr>
              <w:t xml:space="preserve">          Pydantic validates: amount=-50 -- FAILS gt=0 constraint</w:t>
            </w:r>
          </w:p>
          <w:p>
            <w:pPr>
              <w:spacing w:before="20" w:after="20"/>
            </w:pPr>
            <w:r>
              <w:rPr>
                <w:rFonts w:ascii="Courier New" w:cs="Courier New" w:eastAsia="Courier New" w:hAnsi="Courier New"/>
                <w:color w:val="D4D4D4"/>
                <w:sz w:val="18"/>
                <w:szCs w:val="18"/>
              </w:rPr>
              <w:t xml:space="preserve">          Pydantic raises ValidationError immediately</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Step 4: FastAPI catches ValidationError, returns HTTP 422 automatically</w:t>
            </w:r>
          </w:p>
          <w:p>
            <w:pPr>
              <w:spacing w:before="20" w:after="20"/>
            </w:pPr>
            <w:r>
              <w:rPr>
                <w:rFonts w:ascii="Courier New" w:cs="Courier New" w:eastAsia="Courier New" w:hAnsi="Courier New"/>
                <w:color w:val="D4D4D4"/>
                <w:sz w:val="18"/>
                <w:szCs w:val="18"/>
              </w:rPr>
              <w:t xml:space="preserve">          add_expense() handler is NEVER called</w:t>
            </w:r>
          </w:p>
          <w:p>
            <w:pPr>
              <w:spacing w:before="20" w:after="20"/>
            </w:pPr>
            <w:r>
              <w:rPr>
                <w:rFonts w:ascii="Courier New" w:cs="Courier New" w:eastAsia="Courier New" w:hAnsi="Courier New"/>
                <w:color w:val="D4D4D4"/>
                <w:sz w:val="18"/>
                <w:szCs w:val="18"/>
              </w:rPr>
              <w:t xml:space="preserve">          Data layer is NEVER touched</w:t>
            </w:r>
          </w:p>
          <w:p>
            <w:pPr>
              <w:spacing w:before="20" w:after="20"/>
            </w:pPr>
            <w:r>
              <w:rPr>
                <w:rFonts w:ascii="Courier New" w:cs="Courier New" w:eastAsia="Courier New" w:hAnsi="Courier New"/>
                <w:color w:val="D4D4D4"/>
                <w:sz w:val="18"/>
                <w:szCs w:val="18"/>
              </w:rPr>
              <w:t xml:space="preserve">          Response: HTTP 422 Unprocessable Entity with Pydantic error detail</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Note: The manual HTTPException(400) check inside add_expense() handles</w:t>
            </w:r>
          </w:p>
          <w:p>
            <w:pPr>
              <w:spacing w:before="20" w:after="20"/>
            </w:pPr>
            <w:r>
              <w:rPr>
                <w:rFonts w:ascii="Courier New" w:cs="Courier New" w:eastAsia="Courier New" w:hAnsi="Courier New"/>
                <w:color w:val="D4D4D4"/>
                <w:sz w:val="18"/>
                <w:szCs w:val="18"/>
              </w:rPr>
              <w:t xml:space="preserve">        a case where Pydantic's gt=0 field constraint was not set initially.</w:t>
            </w:r>
          </w:p>
          <w:p>
            <w:pPr>
              <w:spacing w:before="20" w:after="20"/>
            </w:pPr>
            <w:r>
              <w:rPr>
                <w:rFonts w:ascii="Courier New" w:cs="Courier New" w:eastAsia="Courier New" w:hAnsi="Courier New"/>
                <w:color w:val="D4D4D4"/>
                <w:sz w:val="18"/>
                <w:szCs w:val="18"/>
              </w:rPr>
              <w:t xml:space="preserve">        With Field(gt=0) in models.py, Pydantic rejects it first at step 3.</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4.3  GET /summary — Read and Compute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Step 1: Client sends HTTP GET to /summary (no body)</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Step 2: FastAPI routes to get_summary() handler</w:t>
            </w:r>
          </w:p>
          <w:p>
            <w:pPr>
              <w:spacing w:before="20" w:after="20"/>
            </w:pPr>
            <w:r>
              <w:rPr>
                <w:rFonts w:ascii="Courier New" w:cs="Courier New" w:eastAsia="Courier New" w:hAnsi="Courier New"/>
                <w:color w:val="D4D4D4"/>
                <w:sz w:val="18"/>
                <w:szCs w:val="18"/>
              </w:rPr>
              <w:t xml:space="preserve">          No Pydantic model needed (GET with no body)</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Step 3: Business logic reads from data layer</w:t>
            </w:r>
          </w:p>
          <w:p>
            <w:pPr>
              <w:spacing w:before="20" w:after="20"/>
            </w:pPr>
            <w:r>
              <w:rPr>
                <w:rFonts w:ascii="Courier New" w:cs="Courier New" w:eastAsia="Courier New" w:hAnsi="Courier New"/>
                <w:color w:val="D4D4D4"/>
                <w:sz w:val="18"/>
                <w:szCs w:val="18"/>
              </w:rPr>
              <w:t xml:space="preserve">          total_income  = sum(incomes)   e.g. sum([5000.0, 2500.0]) = 7500.0</w:t>
            </w:r>
          </w:p>
          <w:p>
            <w:pPr>
              <w:spacing w:before="20" w:after="20"/>
            </w:pPr>
            <w:r>
              <w:rPr>
                <w:rFonts w:ascii="Courier New" w:cs="Courier New" w:eastAsia="Courier New" w:hAnsi="Courier New"/>
                <w:color w:val="D4D4D4"/>
                <w:sz w:val="18"/>
                <w:szCs w:val="18"/>
              </w:rPr>
              <w:t xml:space="preserve">          total_expense = sum(expenses)  e.g. sum([150.75, 80.0])   =  230.75</w:t>
            </w:r>
          </w:p>
          <w:p>
            <w:pPr>
              <w:spacing w:before="20" w:after="20"/>
            </w:pPr>
            <w:r>
              <w:rPr>
                <w:rFonts w:ascii="Courier New" w:cs="Courier New" w:eastAsia="Courier New" w:hAnsi="Courier New"/>
                <w:color w:val="D4D4D4"/>
                <w:sz w:val="18"/>
                <w:szCs w:val="18"/>
              </w:rPr>
              <w:t xml:space="preserve">          balance       = 7500.0 - 230.75 = 7269.25</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Step 4: Handler returns computed dict</w:t>
            </w:r>
          </w:p>
          <w:p>
            <w:pPr>
              <w:spacing w:before="20" w:after="20"/>
            </w:pPr>
            <w:r>
              <w:rPr>
                <w:rFonts w:ascii="Courier New" w:cs="Courier New" w:eastAsia="Courier New" w:hAnsi="Courier New"/>
                <w:color w:val="D4D4D4"/>
                <w:sz w:val="18"/>
                <w:szCs w:val="18"/>
              </w:rPr>
              <w:t xml:space="preserve">          { 'total_income': 7500.0, 'total_expense': 230.75, 'balance': 7269.25 }</w:t>
            </w:r>
          </w:p>
          <w:p>
            <w:pPr>
              <w:spacing w:before="20" w:after="20"/>
            </w:pPr>
            <w:r>
              <w:rPr>
                <w:rFonts w:ascii="Courier New" w:cs="Courier New" w:eastAsia="Courier New" w:hAnsi="Courier New"/>
                <w:color w:val="D4D4D4"/>
                <w:sz w:val="18"/>
                <w:szCs w:val="18"/>
              </w:rPr>
              <w:t xml:space="preserve">          ↓</w:t>
            </w:r>
          </w:p>
          <w:p>
            <w:pPr>
              <w:spacing w:before="20" w:after="20"/>
            </w:pPr>
            <w:r>
              <w:rPr>
                <w:rFonts w:ascii="Courier New" w:cs="Courier New" w:eastAsia="Courier New" w:hAnsi="Courier New"/>
                <w:color w:val="D4D4D4"/>
                <w:sz w:val="18"/>
                <w:szCs w:val="18"/>
              </w:rPr>
              <w:t xml:space="preserve">  Step 5: FastAPI serialises to JSON, returns HTTP 200</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5.  Technology Stack</w:t>
            </w:r>
          </w:p>
        </w:tc>
      </w:tr>
    </w:tbl>
    <w:p>
      <w:pPr>
        <w:spacing w:before="60" w:after="60"/>
      </w:pPr>
      <w:r>
        <w:t xml:space="preserve"/>
      </w:r>
    </w:p>
    <w:p>
      <w:pPr>
        <w:spacing w:before="60" w:after="80"/>
      </w:pPr>
      <w:r>
        <w:rPr>
          <w:rFonts w:ascii="Arial" w:cs="Arial" w:eastAsia="Arial" w:hAnsi="Arial"/>
          <w:color w:val="2C2C2C"/>
          <w:sz w:val="22"/>
          <w:szCs w:val="22"/>
        </w:rPr>
        <w:t xml:space="preserve">Each technology was chosen for a specific reason. This section documents not just what is used, but why it was selected over the alternatives.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200"/>
        <w:gridCol w:w="1800"/>
        <w:gridCol w:w="2960"/>
      </w:tblGrid>
      <w:t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Why Chosen</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API Framework</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Web framework</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Auto Swagger docs, Pydantic integration, async-ready, production-grade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Server</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Uvicorn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ASGI server</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High-performance async server; required by FastAPI</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Validation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v1 (bundled)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validation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Declarative model validation; errors are automatic and structured</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Language</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Python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3.10+</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Primary language</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 is Python-native; strong ecosystem for API development</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Containerisation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Docker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Runtime packaging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Reproducible environments; single-command startup on any machine</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Testing</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Postman</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API testing client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Visual interface for constructing and verifying HTTP requests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Testing (unit)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pytest+httpx</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Automated test runner</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Industry standard for Python testing; httpx enables async test requests</w:t>
            </w:r>
          </w:p>
        </w:tc>
      </w:tr>
      <w:tr>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Version Control</w:t>
            </w:r>
          </w:p>
        </w:tc>
        <w:tc>
          <w:tcPr>
            <w:tcW w:type="dxa" w:w="1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Git/GitHub</w:t>
            </w:r>
          </w:p>
        </w:tc>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Latest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Source management</w:t>
            </w:r>
          </w:p>
        </w:tc>
        <w:tc>
          <w:tcPr>
            <w:tcW w:type="dxa" w:w="2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Standard for tracking changes and sharing code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5.1  Dependency Versions (requirements.txt)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 requirements.txt — current v1 state</w:t>
            </w:r>
          </w:p>
          <w:p>
            <w:pPr>
              <w:spacing w:before="20" w:after="20"/>
            </w:pPr>
            <w:r>
              <w:rPr>
                <w:rFonts w:ascii="Courier New" w:cs="Courier New" w:eastAsia="Courier New" w:hAnsi="Courier New"/>
                <w:color w:val="D4D4D4"/>
                <w:sz w:val="18"/>
                <w:szCs w:val="18"/>
              </w:rPr>
              <w:t xml:space="preserve">  fastapi           # web framework</w:t>
            </w:r>
          </w:p>
          <w:p>
            <w:pPr>
              <w:spacing w:before="20" w:after="20"/>
            </w:pPr>
            <w:r>
              <w:rPr>
                <w:rFonts w:ascii="Courier New" w:cs="Courier New" w:eastAsia="Courier New" w:hAnsi="Courier New"/>
                <w:color w:val="D4D4D4"/>
                <w:sz w:val="18"/>
                <w:szCs w:val="18"/>
              </w:rPr>
              <w:t xml:space="preserve">  uvicorn           # ASGI server</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Recommended improvement for v1 (pin versions for reproducibility):</w:t>
            </w:r>
          </w:p>
          <w:p>
            <w:pPr>
              <w:spacing w:before="20" w:after="20"/>
            </w:pPr>
            <w:r>
              <w:rPr>
                <w:rFonts w:ascii="Courier New" w:cs="Courier New" w:eastAsia="Courier New" w:hAnsi="Courier New"/>
                <w:color w:val="D4D4D4"/>
                <w:sz w:val="18"/>
                <w:szCs w:val="18"/>
              </w:rPr>
              <w:t xml:space="preserve">  fastapi==0.111.0</w:t>
            </w:r>
          </w:p>
          <w:p>
            <w:pPr>
              <w:spacing w:before="20" w:after="20"/>
            </w:pPr>
            <w:r>
              <w:rPr>
                <w:rFonts w:ascii="Courier New" w:cs="Courier New" w:eastAsia="Courier New" w:hAnsi="Courier New"/>
                <w:color w:val="D4D4D4"/>
                <w:sz w:val="18"/>
                <w:szCs w:val="18"/>
              </w:rPr>
              <w:t xml:space="preserve">  uvicorn==0.30.1</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 v2 additions (future):</w:t>
            </w:r>
          </w:p>
          <w:p>
            <w:pPr>
              <w:spacing w:before="20" w:after="20"/>
            </w:pPr>
            <w:r>
              <w:rPr>
                <w:rFonts w:ascii="Courier New" w:cs="Courier New" w:eastAsia="Courier New" w:hAnsi="Courier New"/>
                <w:color w:val="D4D4D4"/>
                <w:sz w:val="18"/>
                <w:szCs w:val="18"/>
              </w:rPr>
              <w:t xml:space="preserve">  sqlmodel          # ORM for PostgreSQL</w:t>
            </w:r>
          </w:p>
          <w:p>
            <w:pPr>
              <w:spacing w:before="20" w:after="20"/>
            </w:pPr>
            <w:r>
              <w:rPr>
                <w:rFonts w:ascii="Courier New" w:cs="Courier New" w:eastAsia="Courier New" w:hAnsi="Courier New"/>
                <w:color w:val="D4D4D4"/>
                <w:sz w:val="18"/>
                <w:szCs w:val="18"/>
              </w:rPr>
              <w:t xml:space="preserve">  psycopg2-binary   # PostgreSQL driver</w:t>
            </w:r>
          </w:p>
          <w:p>
            <w:pPr>
              <w:spacing w:before="20" w:after="20"/>
            </w:pPr>
            <w:r>
              <w:rPr>
                <w:rFonts w:ascii="Courier New" w:cs="Courier New" w:eastAsia="Courier New" w:hAnsi="Courier New"/>
                <w:color w:val="D4D4D4"/>
                <w:sz w:val="18"/>
                <w:szCs w:val="18"/>
              </w:rPr>
              <w:t xml:space="preserve">  python-jose       # JWT authentication</w:t>
            </w:r>
          </w:p>
          <w:p>
            <w:pPr>
              <w:spacing w:before="20" w:after="20"/>
            </w:pPr>
            <w:r>
              <w:rPr>
                <w:rFonts w:ascii="Courier New" w:cs="Courier New" w:eastAsia="Courier New" w:hAnsi="Courier New"/>
                <w:color w:val="D4D4D4"/>
                <w:sz w:val="18"/>
                <w:szCs w:val="18"/>
              </w:rPr>
              <w:t xml:space="preserve">  passlib           # password hashing</w:t>
            </w:r>
          </w:p>
          <w:p>
            <w:pPr>
              <w:spacing w:before="20" w:after="20"/>
            </w:pPr>
            <w:r>
              <w:rPr>
                <w:rFonts w:ascii="Courier New" w:cs="Courier New" w:eastAsia="Courier New" w:hAnsi="Courier New"/>
                <w:color w:val="D4D4D4"/>
                <w:sz w:val="18"/>
                <w:szCs w:val="18"/>
              </w:rPr>
              <w:t xml:space="preserve">  python-dotenv     # .env config management</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6.  API Design Principles</w:t>
            </w:r>
          </w:p>
        </w:tc>
      </w:tr>
    </w:tbl>
    <w:p>
      <w:pPr>
        <w:spacing w:before="60" w:after="60"/>
      </w:pPr>
      <w:r>
        <w:t xml:space="preserve"/>
      </w:r>
    </w:p>
    <w:p>
      <w:pPr>
        <w:spacing w:before="60" w:after="80"/>
      </w:pPr>
      <w:r>
        <w:rPr>
          <w:rFonts w:ascii="Arial" w:cs="Arial" w:eastAsia="Arial" w:hAnsi="Arial"/>
          <w:color w:val="2C2C2C"/>
          <w:sz w:val="22"/>
          <w:szCs w:val="22"/>
        </w:rPr>
        <w:t xml:space="preserve">The Lightweight Finance API is designed according to REST (Representational State Transfer) principles. This section documents the specific REST conventions applied and why each decision was made.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Principle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Applied As</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Example in This API</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Stateless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Each request contains all information needed; no server-side session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/income sends amount+source every time; no session token needed</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Resource-oriented</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URLs identify resources or operations on resources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/income, /expense, /budget, /summary are all resource-oriented names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Correct HTTP verbs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for creating/writing data, GET for reading data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/income writes data; GET /summary reads data</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Consistent responses</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All success responses follow the same JSON structure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POST endpoints return {message: string}; GET endpoints return {key: float}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Meaningful errors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 status codes communicate the error category</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400 = business rule violation; 422 = schema validation failure</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Self-documenting</w:t>
            </w:r>
          </w:p>
        </w:tc>
        <w:tc>
          <w:tcPr>
            <w:tcW w:type="dxa" w:w="3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models + FastAPI generate full OpenAPI spec</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Swagger UI at /docs lists all endpoints, schemas, and example payloads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6.1  HTTP Status Code Strategy</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600"/>
        <w:gridCol w:w="4560"/>
      </w:tblGrid>
      <w:tr>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 Code</w:t>
            </w:r>
          </w:p>
        </w:tc>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When Used in This API</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200 OK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Success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All successful POST and GET operations</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400 Bad Request</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Business rule violation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amount &lt;= 0 passed to /income or /expense (manual HTTPException in handler)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422 Unprocessable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Schema validation failure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Missing field, wrong type, or Pydantic Field constraint (e.g. gt=0) violated</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404 Not Found</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Route not found</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Client requests a path that does not exist (FastAPI default)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405 Method Not Allowed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Wrong HTTP method used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Client sends GET to /income (FastAPI default)</w:t>
            </w:r>
          </w:p>
        </w:tc>
      </w:tr>
      <w:tr>
        <w:tc>
          <w:tcPr>
            <w:tcW w:type="dxa" w:w="2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500 Internal Server Error</w:t>
            </w:r>
          </w:p>
        </w:tc>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Unhandled exception</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Should not occur in normal operation; indicates a code bug</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7.  Security Design</w:t>
            </w:r>
          </w:p>
        </w:tc>
      </w:tr>
    </w:tbl>
    <w:p>
      <w:pPr>
        <w:spacing w:before="60" w:after="60"/>
      </w:pPr>
      <w:r>
        <w:t xml:space="preserve"/>
      </w:r>
    </w:p>
    <w:p>
      <w:pPr>
        <w:spacing w:before="60" w:after="80"/>
      </w:pPr>
      <w:r>
        <w:rPr>
          <w:rFonts w:ascii="Arial" w:cs="Arial" w:eastAsia="Arial" w:hAnsi="Arial"/>
          <w:color w:val="2C2C2C"/>
          <w:sz w:val="22"/>
          <w:szCs w:val="22"/>
        </w:rPr>
        <w:t xml:space="preserve">Security for v1 is scoped to the single-user, local deployment context. The primary security mechanism is input validation at the API boundary. This section documents the security measures implemented and the known gaps that will be addressed in v2.</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7.1  Security Measures Implemented (v1)</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39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Security Control</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Implementation</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What It Prevents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Input type validation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Pydantic model type enforcement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String injection where float expected; prevents type confusion attacks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Input range validation</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Field(gt=0) on amount and limit fields</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Zero or negative amounts being stored as valid financial data</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Input length validation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Field(min_length=1, max_length=50) on string fields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Extremely long strings that could cause memory issues</w:t>
            </w:r>
          </w:p>
        </w:tc>
      </w:tr>
      <w:tr>
        <w:tc>
          <w:tcPr>
            <w:tcW w:type="dxa" w:w="26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Explicit error responses</w:t>
            </w:r>
          </w:p>
        </w:tc>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HTTPException(400) with descriptive detail message</w:t>
            </w:r>
          </w:p>
        </w:tc>
        <w:tc>
          <w:tcPr>
            <w:tcW w:type="dxa" w:w="3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Silent failure or ambiguous error states that confuse the caller</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No hardcoded secrets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 credentials, tokens, or keys in source code</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Accidental credential exposure in version control</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7.2  Known Security Gaps (addressed in v2)</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000"/>
        <w:gridCol w:w="4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Gap</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Risk Level</w:t>
            </w:r>
          </w:p>
        </w:tc>
        <w:tc>
          <w:tcPr>
            <w:tcW w:type="dxa" w:w="4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v2 Mitigation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No authentication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High for production; Low for demo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JWT Bearer token authentication via python-jose</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No HTTPS</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High for production; Low for local</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TLS termination at reverse proxy (nginx) or cloud load balancer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No rate limiting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Medium — API can be flooded with requests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 middleware (slowapi) or cloud API gateway</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No CORS configuration</w:t>
            </w:r>
          </w:p>
        </w:tc>
        <w:tc>
          <w:tcPr>
            <w:tcW w:type="dxa" w:w="20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Low for API-only (no browser client)</w:t>
            </w:r>
          </w:p>
        </w:tc>
        <w:tc>
          <w:tcPr>
            <w:tcW w:type="dxa" w:w="4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FastAPI CORSMiddleware when adding React frontend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In-memory data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loss on restart; no audit trail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55A11"/>
                <w:sz w:val="20"/>
                <w:szCs w:val="20"/>
              </w:rPr>
              <w:t xml:space="preserve">PostgreSQL with created_at timestamps on all records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8.  Scalability &amp; Evolution Path</w:t>
            </w:r>
          </w:p>
        </w:tc>
      </w:tr>
    </w:tbl>
    <w:p>
      <w:pPr>
        <w:spacing w:before="60" w:after="60"/>
      </w:pPr>
      <w:r>
        <w:t xml:space="preserve"/>
      </w:r>
    </w:p>
    <w:p>
      <w:pPr>
        <w:spacing w:before="60" w:after="80"/>
      </w:pPr>
      <w:r>
        <w:rPr>
          <w:rFonts w:ascii="Arial" w:cs="Arial" w:eastAsia="Arial" w:hAnsi="Arial"/>
          <w:color w:val="2C2C2C"/>
          <w:sz w:val="22"/>
          <w:szCs w:val="22"/>
        </w:rPr>
        <w:t xml:space="preserve">The v1 architecture is intentionally simple. However, it has been designed so that each limitation can be addressed in a future version by modifying only the relevant layer, without restructuring the entire system. This is the principle of separation of concerns in practice.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00"/>
        <w:gridCol w:w="2560"/>
      </w:tblGrid>
      <w:t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Change</w:t>
            </w:r>
          </w:p>
        </w:tc>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Layer Affected</w:t>
            </w:r>
          </w:p>
        </w:tc>
        <w:tc>
          <w:tcPr>
            <w:tcW w:type="dxa" w:w="2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Other Layers Impacted</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v1 (current)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In-memory Python lists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Layer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None</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20"/>
                <w:szCs w:val="20"/>
              </w:rPr>
              <w:t xml:space="preserve">v2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55A11"/>
                <w:sz w:val="20"/>
                <w:szCs w:val="20"/>
              </w:rPr>
              <w:t xml:space="preserve">Replace lists with PostgreSQL + SQLModel</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Layer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Business logic handlers updated to use DB session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v2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Add JWT authentication middleware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API Layer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Client must send Authorization header</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C55A11"/>
                <w:sz w:val="20"/>
                <w:szCs w:val="20"/>
              </w:rPr>
              <w:t xml:space="preserve">v2</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Add React frontend</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Client Layer (new)</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API Layer needs CORS configuration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C55A11"/>
                <w:sz w:val="20"/>
                <w:szCs w:val="20"/>
              </w:rPr>
              <w:t xml:space="preserve">v2</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Add per-category budget model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Data + Business Logic</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New Pydantic models + new endpoints</w:t>
            </w:r>
          </w:p>
        </w:tc>
      </w:tr>
      <w:tr>
        <w:tc>
          <w:tcPr>
            <w:tcW w:type="dxa" w:w="1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v3</w:t>
            </w:r>
          </w:p>
        </w:tc>
        <w:tc>
          <w:tcPr>
            <w:tcW w:type="dxa" w:w="32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Deploy to AWS Lambda or Azure Functions</w:t>
            </w:r>
          </w:p>
        </w:tc>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Container Layer</w:t>
            </w:r>
          </w:p>
        </w:tc>
        <w:tc>
          <w:tcPr>
            <w:tcW w:type="dxa" w:w="25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Stateless design already supports this</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v3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Add horizontal scaling behind a load balancer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Container Layer</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Stateless design already supports this — sessions are not server-side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4F0" w:val="clear"/>
            <w:tcMar>
              <w:top w:type="dxa" w:w="100"/>
              <w:left w:type="dxa" w:w="200"/>
              <w:bottom w:type="dxa" w:w="100"/>
              <w:right w:type="dxa" w:w="200"/>
            </w:tcMar>
          </w:tcPr>
          <w:p>
            <w:r>
              <w:rPr>
                <w:rFonts w:ascii="Arial" w:cs="Arial" w:eastAsia="Arial" w:hAnsi="Arial"/>
                <w:b/>
                <w:bCs/>
                <w:color w:val="1F3864"/>
                <w:sz w:val="24"/>
                <w:szCs w:val="24"/>
              </w:rPr>
              <w:t xml:space="preserve">8.1  Cloud Readiness Assessment</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Cloud Readiness Factor</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v1 Status</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Stateless design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Implemented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No server-side session state — any instance can handle any request</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Containerised</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 Implemented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Docker image can be deployed to any container runtime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JSON API</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Implemented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Standard format for all cloud API gateways and clients</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Environment-agnostic</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 Implemented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No hardcoded host/port in application logic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Persistent storage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55A11"/>
                <w:sz w:val="20"/>
                <w:szCs w:val="20"/>
              </w:rPr>
              <w:t xml:space="preserve">❌ v2 required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In-memory data will not survive container restarts in cloud</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Health check endpoint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55A11"/>
                <w:sz w:val="20"/>
                <w:szCs w:val="20"/>
              </w:rPr>
              <w:t xml:space="preserve">❌ v2 required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GET / should return {status: healthy} for load balancer probes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Structured logging</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55A11"/>
                <w:sz w:val="20"/>
                <w:szCs w:val="20"/>
              </w:rPr>
              <w:t xml:space="preserve">❌ v2 required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JSON-structured logs needed for cloud log aggregation (CloudWatch/Azure Monitor)</w:t>
            </w:r>
          </w:p>
        </w:tc>
      </w:tr>
      <w:tr>
        <w:tc>
          <w:tcPr>
            <w:tcW w:type="dxa" w:w="2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Secrets management</w:t>
            </w:r>
          </w:p>
        </w:tc>
        <w:tc>
          <w:tcPr>
            <w:tcW w:type="dxa" w:w="18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C55A11"/>
                <w:sz w:val="20"/>
                <w:szCs w:val="20"/>
              </w:rPr>
              <w:t xml:space="preserve">❌ v2 required</w:t>
            </w:r>
          </w:p>
        </w:tc>
        <w:tc>
          <w:tcPr>
            <w:tcW w:type="dxa" w:w="47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Environment variables via .env file; cloud secrets manager for production</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9.  Project File Structure</w:t>
            </w:r>
          </w:p>
        </w:tc>
      </w:tr>
    </w:tbl>
    <w:p>
      <w:pPr>
        <w:spacing w:before="60" w:after="60"/>
      </w:pPr>
      <w:r>
        <w:t xml:space="preserve"/>
      </w:r>
    </w:p>
    <w:p>
      <w:pPr>
        <w:spacing w:before="60" w:after="80"/>
      </w:pPr>
      <w:r>
        <w:rPr>
          <w:rFonts w:ascii="Arial" w:cs="Arial" w:eastAsia="Arial" w:hAnsi="Arial"/>
          <w:color w:val="2C2C2C"/>
          <w:sz w:val="22"/>
          <w:szCs w:val="22"/>
        </w:rPr>
        <w:t xml:space="preserve">The following is the v1 file structure as implemented. Each file has a single, defined responsibility.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E1E1E" w:val="clear"/>
            <w:tcMar>
              <w:top w:type="dxa" w:w="160"/>
              <w:left w:type="dxa" w:w="240"/>
              <w:bottom w:type="dxa" w:w="160"/>
              <w:right w:type="dxa" w:w="240"/>
            </w:tcMar>
          </w:tcPr>
          <w:p>
            <w:pPr>
              <w:spacing w:before="20" w:after="20"/>
            </w:pPr>
            <w:r>
              <w:rPr>
                <w:rFonts w:ascii="Courier New" w:cs="Courier New" w:eastAsia="Courier New" w:hAnsi="Courier New"/>
                <w:color w:val="D4D4D4"/>
                <w:sz w:val="18"/>
                <w:szCs w:val="18"/>
              </w:rPr>
              <w:t xml:space="preserve">  Lightweight-Finance-API/</w:t>
            </w:r>
          </w:p>
          <w:p>
            <w:pPr>
              <w:spacing w:before="20" w:after="20"/>
            </w:pPr>
            <w:r>
              <w:rPr>
                <w:rFonts w:ascii="Courier New" w:cs="Courier New" w:eastAsia="Courier New" w:hAnsi="Courier New"/>
                <w:color w:val="D4D4D4"/>
                <w:sz w:val="18"/>
                <w:szCs w:val="18"/>
              </w:rPr>
              <w:t xml:space="preserve">  ├── main.py             # FastAPI app, route handlers, in-memory storage</w:t>
            </w:r>
          </w:p>
          <w:p>
            <w:pPr>
              <w:spacing w:before="20" w:after="20"/>
            </w:pPr>
            <w:r>
              <w:rPr>
                <w:rFonts w:ascii="Courier New" w:cs="Courier New" w:eastAsia="Courier New" w:hAnsi="Courier New"/>
                <w:color w:val="D4D4D4"/>
                <w:sz w:val="18"/>
                <w:szCs w:val="18"/>
              </w:rPr>
              <w:t xml:space="preserve">  ├── models.py           # Pydantic request models (Income, Expense, Budget)</w:t>
            </w:r>
          </w:p>
          <w:p>
            <w:pPr>
              <w:spacing w:before="20" w:after="20"/>
            </w:pPr>
            <w:r>
              <w:rPr>
                <w:rFonts w:ascii="Courier New" w:cs="Courier New" w:eastAsia="Courier New" w:hAnsi="Courier New"/>
                <w:color w:val="D4D4D4"/>
                <w:sz w:val="18"/>
                <w:szCs w:val="18"/>
              </w:rPr>
              <w:t xml:space="preserve">  ├── requirements.txt    # Python dependencies (fastapi, uvicorn)</w:t>
            </w:r>
          </w:p>
          <w:p>
            <w:pPr>
              <w:spacing w:before="20" w:after="20"/>
            </w:pPr>
            <w:r>
              <w:rPr>
                <w:rFonts w:ascii="Courier New" w:cs="Courier New" w:eastAsia="Courier New" w:hAnsi="Courier New"/>
                <w:color w:val="D4D4D4"/>
                <w:sz w:val="18"/>
                <w:szCs w:val="18"/>
              </w:rPr>
              <w:t xml:space="preserve">  ├── Dockerfile          # Container build instructions</w:t>
            </w:r>
          </w:p>
          <w:p>
            <w:pPr>
              <w:spacing w:before="20" w:after="20"/>
            </w:pPr>
            <w:r>
              <w:rPr>
                <w:rFonts w:ascii="Courier New" w:cs="Courier New" w:eastAsia="Courier New" w:hAnsi="Courier New"/>
                <w:color w:val="D4D4D4"/>
                <w:sz w:val="18"/>
                <w:szCs w:val="18"/>
              </w:rPr>
              <w:t xml:space="preserve">  ├── README.md           # Project overview and run instructions</w:t>
            </w:r>
          </w:p>
          <w:p>
            <w:pPr>
              <w:spacing w:before="20" w:after="20"/>
            </w:pPr>
            <w:r>
              <w:rPr>
                <w:rFonts w:ascii="Courier New" w:cs="Courier New" w:eastAsia="Courier New" w:hAnsi="Courier New"/>
                <w:color w:val="D4D4D4"/>
                <w:sz w:val="18"/>
                <w:szCs w:val="18"/>
              </w:rPr>
              <w:t xml:space="preserve">  └── docs/</w:t>
            </w:r>
          </w:p>
          <w:p>
            <w:pPr>
              <w:spacing w:before="20" w:after="20"/>
            </w:pPr>
            <w:r>
              <w:rPr>
                <w:rFonts w:ascii="Courier New" w:cs="Courier New" w:eastAsia="Courier New" w:hAnsi="Courier New"/>
                <w:color w:val="D4D4D4"/>
                <w:sz w:val="18"/>
                <w:szCs w:val="18"/>
              </w:rPr>
              <w:t xml:space="preserve">      ├── PROPOSAL            # DOC-01 Project Proposal (to be .docx)</w:t>
            </w:r>
          </w:p>
          <w:p>
            <w:pPr>
              <w:spacing w:before="20" w:after="20"/>
            </w:pPr>
            <w:r>
              <w:rPr>
                <w:rFonts w:ascii="Courier New" w:cs="Courier New" w:eastAsia="Courier New" w:hAnsi="Courier New"/>
                <w:color w:val="D4D4D4"/>
                <w:sz w:val="18"/>
                <w:szCs w:val="18"/>
              </w:rPr>
              <w:t xml:space="preserve">      ├── HLD                 # DOC-03 High-Level Design (this document)</w:t>
            </w:r>
          </w:p>
          <w:p>
            <w:pPr>
              <w:spacing w:before="20" w:after="20"/>
            </w:pPr>
            <w:r>
              <w:rPr>
                <w:rFonts w:ascii="Courier New" w:cs="Courier New" w:eastAsia="Courier New" w:hAnsi="Courier New"/>
                <w:color w:val="D4D4D4"/>
                <w:sz w:val="18"/>
                <w:szCs w:val="18"/>
              </w:rPr>
              <w:t xml:space="preserve">      ├── LLD                 # DOC-04 Low-Level Design (to be built)</w:t>
            </w:r>
          </w:p>
          <w:p>
            <w:pPr>
              <w:spacing w:before="20" w:after="20"/>
            </w:pPr>
            <w:r>
              <w:rPr>
                <w:rFonts w:ascii="Courier New" w:cs="Courier New" w:eastAsia="Courier New" w:hAnsi="Courier New"/>
                <w:color w:val="D4D4D4"/>
                <w:sz w:val="18"/>
                <w:szCs w:val="18"/>
              </w:rPr>
              <w:t xml:space="preserve">      └── FINAL_REPORT.md     # DOC-08 Final Report (to be rebuilt as .docx)</w:t>
            </w:r>
          </w:p>
          <w:p>
            <w:pPr>
              <w:spacing w:before="20" w:after="20"/>
            </w:pPr>
            <w:r>
              <w:rPr>
                <w:rFonts w:ascii="Courier New" w:cs="Courier New" w:eastAsia="Courier New" w:hAnsi="Courier New"/>
                <w:color w:val="D4D4D4"/>
                <w:sz w:val="18"/>
                <w:szCs w:val="18"/>
              </w:rPr>
              <w:t xml:space="preserve"/>
            </w:r>
          </w:p>
          <w:p>
            <w:pPr>
              <w:spacing w:before="20" w:after="20"/>
            </w:pPr>
            <w:r>
              <w:rPr>
                <w:rFonts w:ascii="Courier New" w:cs="Courier New" w:eastAsia="Courier New" w:hAnsi="Courier New"/>
                <w:color w:val="D4D4D4"/>
                <w:sz w:val="18"/>
                <w:szCs w:val="18"/>
              </w:rPr>
              <w:t xml:space="preserve">  v2 additions (planned):</w:t>
            </w:r>
          </w:p>
          <w:p>
            <w:pPr>
              <w:spacing w:before="20" w:after="20"/>
            </w:pPr>
            <w:r>
              <w:rPr>
                <w:rFonts w:ascii="Courier New" w:cs="Courier New" w:eastAsia="Courier New" w:hAnsi="Courier New"/>
                <w:color w:val="D4D4D4"/>
                <w:sz w:val="18"/>
                <w:szCs w:val="18"/>
              </w:rPr>
              <w:t xml:space="preserve">  ├── database.py         # DB connection + session factory</w:t>
            </w:r>
          </w:p>
          <w:p>
            <w:pPr>
              <w:spacing w:before="20" w:after="20"/>
            </w:pPr>
            <w:r>
              <w:rPr>
                <w:rFonts w:ascii="Courier New" w:cs="Courier New" w:eastAsia="Courier New" w:hAnsi="Courier New"/>
                <w:color w:val="D4D4D4"/>
                <w:sz w:val="18"/>
                <w:szCs w:val="18"/>
              </w:rPr>
              <w:t xml:space="preserve">  ├── schemas.py          # Pydantic response schemas (separate from request models)</w:t>
            </w:r>
          </w:p>
          <w:p>
            <w:pPr>
              <w:spacing w:before="20" w:after="20"/>
            </w:pPr>
            <w:r>
              <w:rPr>
                <w:rFonts w:ascii="Courier New" w:cs="Courier New" w:eastAsia="Courier New" w:hAnsi="Courier New"/>
                <w:color w:val="D4D4D4"/>
                <w:sz w:val="18"/>
                <w:szCs w:val="18"/>
              </w:rPr>
              <w:t xml:space="preserve">  ├── routers/</w:t>
            </w:r>
          </w:p>
          <w:p>
            <w:pPr>
              <w:spacing w:before="20" w:after="20"/>
            </w:pPr>
            <w:r>
              <w:rPr>
                <w:rFonts w:ascii="Courier New" w:cs="Courier New" w:eastAsia="Courier New" w:hAnsi="Courier New"/>
                <w:color w:val="D4D4D4"/>
                <w:sz w:val="18"/>
                <w:szCs w:val="18"/>
              </w:rPr>
              <w:t xml:space="preserve">  │   ├── income.py</w:t>
            </w:r>
          </w:p>
          <w:p>
            <w:pPr>
              <w:spacing w:before="20" w:after="20"/>
            </w:pPr>
            <w:r>
              <w:rPr>
                <w:rFonts w:ascii="Courier New" w:cs="Courier New" w:eastAsia="Courier New" w:hAnsi="Courier New"/>
                <w:color w:val="D4D4D4"/>
                <w:sz w:val="18"/>
                <w:szCs w:val="18"/>
              </w:rPr>
              <w:t xml:space="preserve">  │   └── expense.py</w:t>
            </w:r>
          </w:p>
          <w:p>
            <w:pPr>
              <w:spacing w:before="20" w:after="20"/>
            </w:pPr>
            <w:r>
              <w:rPr>
                <w:rFonts w:ascii="Courier New" w:cs="Courier New" w:eastAsia="Courier New" w:hAnsi="Courier New"/>
                <w:color w:val="D4D4D4"/>
                <w:sz w:val="18"/>
                <w:szCs w:val="18"/>
              </w:rPr>
              <w:t xml:space="preserve">  ├── .env                # Environment config (DB URL, secret key)</w:t>
            </w:r>
          </w:p>
          <w:p>
            <w:pPr>
              <w:spacing w:before="20" w:after="20"/>
            </w:pPr>
            <w:r>
              <w:rPr>
                <w:rFonts w:ascii="Courier New" w:cs="Courier New" w:eastAsia="Courier New" w:hAnsi="Courier New"/>
                <w:color w:val="D4D4D4"/>
                <w:sz w:val="18"/>
                <w:szCs w:val="18"/>
              </w:rPr>
              <w:t xml:space="preserve">  ├── .env.example        # Template for .env (committed to git)</w:t>
            </w:r>
          </w:p>
          <w:p>
            <w:pPr>
              <w:spacing w:before="20" w:after="20"/>
            </w:pPr>
            <w:r>
              <w:rPr>
                <w:rFonts w:ascii="Courier New" w:cs="Courier New" w:eastAsia="Courier New" w:hAnsi="Courier New"/>
                <w:color w:val="D4D4D4"/>
                <w:sz w:val="18"/>
                <w:szCs w:val="18"/>
              </w:rPr>
              <w:t xml:space="preserve">  └── tests/</w:t>
            </w:r>
          </w:p>
          <w:p>
            <w:pPr>
              <w:spacing w:before="20" w:after="20"/>
            </w:pPr>
            <w:r>
              <w:rPr>
                <w:rFonts w:ascii="Courier New" w:cs="Courier New" w:eastAsia="Courier New" w:hAnsi="Courier New"/>
                <w:color w:val="D4D4D4"/>
                <w:sz w:val="18"/>
                <w:szCs w:val="18"/>
              </w:rPr>
              <w:t xml:space="preserve">      └── test_main.py        # pytest test suite</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CE4D6" w:val="clear"/>
            <w:tcMar>
              <w:top w:type="dxa" w:w="120"/>
              <w:left w:type="dxa" w:w="200"/>
              <w:bottom w:type="dxa" w:w="20"/>
              <w:right w:type="dxa" w:w="200"/>
            </w:tcMar>
          </w:tcPr>
          <w:p>
            <w:r>
              <w:rPr>
                <w:rFonts w:ascii="Arial" w:cs="Arial" w:eastAsia="Arial" w:hAnsi="Arial"/>
                <w:b/>
                <w:bCs/>
                <w:color w:val="C55A11"/>
                <w:sz w:val="22"/>
                <w:szCs w:val="22"/>
              </w:rPr>
              <w:t xml:space="preserve">Structural improvement for v1</w:t>
            </w:r>
          </w:p>
        </w:tc>
      </w:tr>
      <w:tr>
        <w:tc>
          <w:tcPr>
            <w:tcW w:type="dxa" w:w="9360"/>
            <w:tcBorders>
              <w:top w:val="none" w:color="FFFFFF" w:sz="0"/>
              <w:left w:val="none" w:color="FFFFFF" w:sz="0"/>
              <w:bottom w:val="none" w:color="FFFFFF" w:sz="0"/>
              <w:right w:val="none" w:color="FFFFFF" w:sz="0"/>
            </w:tcBorders>
            <w:shd w:fill="FCE4D6" w:val="clear"/>
            <w:tcMar>
              <w:top w:type="dxa" w:w="0"/>
              <w:left w:type="dxa" w:w="200"/>
              <w:bottom w:type="dxa" w:w="140"/>
              <w:right w:type="dxa" w:w="200"/>
            </w:tcMar>
          </w:tcPr>
          <w:p>
            <w:r>
              <w:rPr>
                <w:rFonts w:ascii="Arial" w:cs="Arial" w:eastAsia="Arial" w:hAnsi="Arial"/>
                <w:color w:val="2C2C2C"/>
                <w:sz w:val="20"/>
                <w:szCs w:val="20"/>
              </w:rPr>
              <w:t xml:space="preserve">The current v1 has all route handlers in main.py. For a project of this size this is acceptable. However, separating models.py (already done correctly) from main.py is good practice. The v2 structure above shows how the separation should evolve as the project grows.</w:t>
            </w:r>
          </w:p>
        </w:tc>
      </w:tr>
    </w:tbl>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3864" w:val="clear"/>
            <w:tcMar>
              <w:top w:type="dxa" w:w="140"/>
              <w:left w:type="dxa" w:w="240"/>
              <w:bottom w:type="dxa" w:w="140"/>
              <w:right w:type="dxa" w:w="240"/>
            </w:tcMar>
          </w:tcPr>
          <w:p>
            <w:r>
              <w:rPr>
                <w:rFonts w:ascii="Arial" w:cs="Arial" w:eastAsia="Arial" w:hAnsi="Arial"/>
                <w:b/>
                <w:bCs/>
                <w:color w:val="FFFFFF"/>
                <w:sz w:val="28"/>
                <w:szCs w:val="28"/>
              </w:rPr>
              <w:t xml:space="preserve">10.  Document Sign-Off</w:t>
            </w:r>
          </w:p>
        </w:tc>
      </w:tr>
    </w:tbl>
    <w:p>
      <w:pPr>
        <w:spacing w:before="60" w:after="60"/>
      </w:pPr>
      <w:r>
        <w:t xml:space="preserve"/>
      </w:r>
    </w:p>
    <w:p>
      <w:pPr>
        <w:spacing w:before="60" w:after="80"/>
      </w:pPr>
      <w:r>
        <w:rPr>
          <w:rFonts w:ascii="Arial" w:cs="Arial" w:eastAsia="Arial" w:hAnsi="Arial"/>
          <w:color w:val="2C2C2C"/>
          <w:sz w:val="22"/>
          <w:szCs w:val="22"/>
        </w:rPr>
        <w:t xml:space="preserve">This HLD is approved and provides the architectural foundation for DOC-04 (LLD). All implementation decisions in the LLD must be consistent with the architecture described here.</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E75B6"/>
                <w:sz w:val="20"/>
                <w:szCs w:val="20"/>
              </w:rPr>
              <w:t xml:space="preserve">Author</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Sayu V</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20/3/2026</w:t>
            </w:r>
          </w:p>
        </w:tc>
        <w:tc>
          <w:tcPr>
            <w:tcW w:type="dxa" w:w="23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2C2C2C"/>
                <w:sz w:val="20"/>
                <w:szCs w:val="20"/>
              </w:rPr>
              <w:t xml:space="preserve">✅ Approved</w:t>
            </w:r>
          </w:p>
        </w:tc>
      </w:tr>
      <w:tr>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2E75B6"/>
                <w:sz w:val="20"/>
                <w:szCs w:val="20"/>
              </w:rPr>
              <w:t xml:space="preserve">Reviewer</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Faculty Guide</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 Pending</w:t>
            </w:r>
          </w:p>
        </w:tc>
        <w:tc>
          <w:tcPr>
            <w:tcW w:type="dxa" w:w="234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val="false"/>
                <w:bCs w:val="false"/>
                <w:color w:val="2C2C2C"/>
                <w:sz w:val="20"/>
                <w:szCs w:val="20"/>
              </w:rPr>
              <w:t xml:space="preserve">⏳ Awaiting</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D6EDD9" w:val="clear"/>
            <w:tcMar>
              <w:top w:type="dxa" w:w="120"/>
              <w:left w:type="dxa" w:w="200"/>
              <w:bottom w:type="dxa" w:w="20"/>
              <w:right w:type="dxa" w:w="200"/>
            </w:tcMar>
          </w:tcPr>
          <w:p>
            <w:r>
              <w:rPr>
                <w:rFonts w:ascii="Arial" w:cs="Arial" w:eastAsia="Arial" w:hAnsi="Arial"/>
                <w:b/>
                <w:bCs/>
                <w:color w:val="0F6E56"/>
                <w:sz w:val="22"/>
                <w:szCs w:val="22"/>
              </w:rPr>
              <w:t xml:space="preserve">Traceability note</w:t>
            </w:r>
          </w:p>
        </w:tc>
      </w:tr>
      <w:tr>
        <w:tc>
          <w:tcPr>
            <w:tcW w:type="dxa" w:w="9360"/>
            <w:tcBorders>
              <w:top w:val="none" w:color="FFFFFF" w:sz="0"/>
              <w:left w:val="none" w:color="FFFFFF" w:sz="0"/>
              <w:bottom w:val="none" w:color="FFFFFF" w:sz="0"/>
              <w:right w:val="none" w:color="FFFFFF" w:sz="0"/>
            </w:tcBorders>
            <w:shd w:fill="D6EDD9" w:val="clear"/>
            <w:tcMar>
              <w:top w:type="dxa" w:w="0"/>
              <w:left w:type="dxa" w:w="200"/>
              <w:bottom w:type="dxa" w:w="140"/>
              <w:right w:type="dxa" w:w="200"/>
            </w:tcMar>
          </w:tcPr>
          <w:p>
            <w:r>
              <w:rPr>
                <w:rFonts w:ascii="Arial" w:cs="Arial" w:eastAsia="Arial" w:hAnsi="Arial"/>
                <w:color w:val="2C2C2C"/>
                <w:sz w:val="20"/>
                <w:szCs w:val="20"/>
              </w:rPr>
              <w:t xml:space="preserve">Section 4 of this document (Data Flow) maps to the functional requirements FR-01 through FR-30 in DOC-02. Section 7 (Security) maps to NFR-09 and NFR-10. Section 8 (Scalability) maps to NFR-02 and NFR-03.</w:t>
            </w:r>
          </w:p>
        </w:tc>
      </w:tr>
    </w:tbl>
    <w:p>
      <w:pPr>
        <w:spacing w:before="60" w:after="60"/>
      </w:pPr>
      <w:r>
        <w:t xml:space="preserve"/>
      </w:r>
    </w:p>
    <w:p>
      <w:pPr>
        <w:pBdr>
          <w:bottom w:val="single" w:color="DDDDDD" w:sz="4" w:space="1"/>
        </w:pBdr>
        <w:spacing w:before="100" w:after="100"/>
      </w:pPr>
      <w:r>
        <w:t xml:space="preserve"/>
      </w:r>
    </w:p>
    <w:p>
      <w:pPr>
        <w:spacing w:before="60" w:after="60"/>
      </w:pPr>
      <w:r>
        <w:t xml:space="preserve"/>
      </w:r>
    </w:p>
    <w:p>
      <w:pPr>
        <w:jc w:val="center"/>
      </w:pPr>
      <w:r>
        <w:rPr>
          <w:rFonts w:ascii="Arial" w:cs="Arial" w:eastAsia="Arial" w:hAnsi="Arial"/>
          <w:b/>
          <w:bCs/>
          <w:color w:val="595959"/>
          <w:sz w:val="20"/>
          <w:szCs w:val="20"/>
        </w:rPr>
        <w:t xml:space="preserve">—  END OF DOCUMENT  —</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pPr>
    <w:r>
      <w:rPr>
        <w:rFonts w:ascii="Arial" w:cs="Arial" w:eastAsia="Arial" w:hAnsi="Arial"/>
        <w:color w:val="595959"/>
        <w:sz w:val="18"/>
        <w:szCs w:val="18"/>
      </w:rPr>
      <w:t xml:space="preserve">Yenepoya University  |  IBM SkillsBuild Project</w:t>
    </w:r>
    <w:r>
      <w:rPr>
        <w:rFonts w:ascii="Arial" w:cs="Arial" w:eastAsia="Arial" w:hAnsi="Arial"/>
        <w:sz w:val="18"/>
        <w:szCs w:val="18"/>
      </w:rPr>
      <w:t xml:space="preserve">	</w:t>
    </w:r>
    <w:r>
      <w:rPr>
        <w:rFonts w:ascii="Arial" w:cs="Arial" w:eastAsia="Arial" w:hAnsi="Arial"/>
        <w:i/>
        <w:iCs/>
        <w:color w:val="595959"/>
        <w:sz w:val="18"/>
        <w:szCs w:val="18"/>
      </w:rPr>
      <w:t xml:space="preserve">Version 1.0  |  Confidential — Academic Use Only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color w:val="595959"/>
        <w:sz w:val="18"/>
        <w:szCs w:val="18"/>
      </w:rPr>
      <w:t xml:space="preserve">Lightweight Finance API</w:t>
    </w:r>
    <w:r>
      <w:rPr>
        <w:rFonts w:ascii="Arial" w:cs="Arial" w:eastAsia="Arial" w:hAnsi="Arial"/>
        <w:sz w:val="18"/>
        <w:szCs w:val="18"/>
      </w:rPr>
      <w:t xml:space="preserve">	</w:t>
    </w:r>
    <w:r>
      <w:rPr>
        <w:rFonts w:ascii="Arial" w:cs="Arial" w:eastAsia="Arial" w:hAnsi="Arial"/>
        <w:i/>
        <w:iCs/>
        <w:color w:val="595959"/>
        <w:sz w:val="18"/>
        <w:szCs w:val="18"/>
      </w:rPr>
      <w:t xml:space="preserve">High-Level Design  |  DOC-03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lowerLetter"/>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00"/>
      <w:outlineLvl w:val="0"/>
    </w:pPr>
    <w:rPr>
      <w:rFonts w:ascii="Arial" w:cs="Arial" w:eastAsia="Arial" w:hAnsi="Arial"/>
      <w:b/>
      <w:bCs/>
      <w:color w:val="1F3864"/>
      <w:sz w:val="34"/>
      <w:szCs w:val="34"/>
    </w:rPr>
  </w:style>
  <w:style w:type="paragraph" w:styleId="Heading2">
    <w:name w:val="Heading 2"/>
    <w:basedOn w:val="Normal"/>
    <w:next w:val="Normal"/>
    <w:qFormat/>
    <w:pPr>
      <w:spacing w:before="24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80" w:after="60"/>
      <w:outlineLvl w:val="2"/>
    </w:pPr>
    <w:rPr>
      <w:rFonts w:ascii="Arial" w:cs="Arial" w:eastAsia="Arial" w:hAnsi="Arial"/>
      <w:b/>
      <w:bCs/>
      <w:color w:val="595959"/>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2026-03-20T11:05:52.929Z</dcterms:created>
  <dcterms:modified xsi:type="dcterms:W3CDTF">2026-03-20T11:05:52.929Z</dcterms:modified>
</cp:coreProperties>
</file>

<file path=docProps/custom.xml><?xml version="1.0" encoding="utf-8"?>
<Properties xmlns="http://schemas.openxmlformats.org/officeDocument/2006/custom-properties" xmlns:vt="http://schemas.openxmlformats.org/officeDocument/2006/docPropsVTypes"/>
</file>