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8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ARCHITECTURE &amp; TECH STACK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2E75B6"/>
          <w:sz w:val="40"/>
          <w:szCs w:val="40"/>
        </w:rPr>
        <w:t xml:space="preserve">Expense &amp; Income Tracker Application</w:t>
      </w:r>
    </w:p>
    <w:p>
      <w:pPr>
        <w:spacing w:after="400"/>
        <w:jc w:val="center"/>
      </w:pPr>
      <w:r>
        <w:rPr>
          <w:rFonts w:ascii="Arial" w:cs="Arial" w:eastAsia="Arial" w:hAnsi="Arial"/>
          <w:color w:val="595959"/>
          <w:sz w:val="24"/>
          <w:szCs w:val="24"/>
        </w:rPr>
        <w:t xml:space="preserve">Version 1.0  |  Patterns · Stack Justification · ADRs · Deployment Design</w:t>
      </w:r>
    </w:p>
    <w:p>
      <w:pPr>
        <w:pBdr>
          <w:bottom w:val="single" w:color="2E75B6" w:sz="6" w:space="1"/>
        </w:pBdr>
        <w:spacing w:before="160" w:after="160"/>
      </w:pP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Document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Architecture &amp; Tech Stack Design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Project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Expense &amp; Income Tracker — Full-Stack Rebuild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Version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1.0  |  Initial Release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Author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Sayu-V  |  Yenepoya University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Relates to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PRD v2.1 · HLD v1.0 · LLD v1.0  |  IBM Student Project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Date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19 March 2026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Status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APPROVED — Proceed to Build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Contents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Full-stack architecture · 4 architecture diagrams · Tech stack with justification · Technology comparison matrices · 8 architectural patterns · Architecture decision records (ADRs)</w:t>
            </w:r>
          </w:p>
        </w:tc>
      </w:tr>
    </w:tbl>
    <w:p>
      <w:pPr>
        <w:spacing w:after="120"/>
      </w:pPr>
    </w:p>
    <w:p>
      <w:pPr>
        <w:pBdr>
          <w:bottom w:val="single" w:color="2E75B6" w:sz="6" w:space="1"/>
        </w:pBdr>
        <w:spacing w:before="160" w:after="160"/>
      </w:pPr>
    </w:p>
    <w:p>
      <w:r>
        <w:br w:type="page"/>
      </w:r>
    </w:p>
    <w:p>
      <w:pPr>
        <w:pBdr>
          <w:left w:val="single" w:color="2E75B6" w:sz="20"/>
        </w:pBdr>
        <w:shd w:fill="D6E4F0" w:val="clear"/>
        <w:spacing w:before="280" w:after="1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  1. Purpose &amp; Scope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document provides the complete architectural view of the Expense &amp; Income Tracker application. It explains not just what technologies were chosen, but why — with comparison matrices against alternatives. This document is intended for the IBM project reviewer, examiner, and any future developer who needs to understand the engineering rationale behind every major decision.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document covers four perspectives: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Structural — how the system is organised into tiers and layers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Technology — what tools are used and why they beat their alternatives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Pattern — which recognised software engineering patterns are applied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Decision — formal Architecture Decision Records (ADRs) for key choices</w:t>
      </w:r>
    </w:p>
    <w:p>
      <w:pPr>
        <w:spacing w:after="120"/>
      </w:pPr>
    </w:p>
    <w:p>
      <w:pPr>
        <w:pBdr>
          <w:bottom w:val="single" w:color="2E75B6" w:sz="6" w:space="1"/>
        </w:pBdr>
        <w:spacing w:before="160" w:after="160"/>
      </w:pPr>
    </w:p>
    <w:p>
      <w:pPr>
        <w:pBdr>
          <w:left w:val="single" w:color="2E75B6" w:sz="20"/>
        </w:pBdr>
        <w:shd w:fill="D6E4F0" w:val="clear"/>
        <w:spacing w:before="280" w:after="1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  2. Full Stack Architecture Overview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system follows a three-tier architecture — Presentation, Application, and Data — each running as an isolated Docker container. Within the Application tier, a strict layered architecture further separates HTTP routing, schema validation, business logic, and data access. This dual layering (tier + layer) provides clean separation of concerns at both the deployment and code level.</w:t>
      </w:r>
    </w:p>
    <w:p>
      <w:pPr>
        <w:spacing w:after="120"/>
      </w:pPr>
    </w:p>
    <w:p>
      <w:pPr>
        <w:spacing w:before="160" w:after="60"/>
        <w:jc w:val="center"/>
      </w:pPr>
      <w:r>
        <w:drawing>
          <wp:inline distT="0" distB="0" distL="0" distR="0">
            <wp:extent cx="6667500" cy="4714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0" cy="471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Figure 1: Full stack architecture — four tiers (Presentation, Application, Data, Infrastructure) with internal layer breakdown, Docker containers, and inter-tier communication paths.</w:t>
      </w:r>
    </w:p>
    <w:p>
      <w:pPr>
        <w:spacing w:after="12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Tier definitions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2360"/>
        <w:gridCol w:w="28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Container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Presentation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frontend :5173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React 18 + Vite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UI rendering, user interaction, charting, navigation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Application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backend :8000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FastAPI + Python 3.11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API routing, validation, all business logic, AI insights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Data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db :5432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PostgreSQL 15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Persistent storage of all expenses, income, categories, budgets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Infrastructure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Host machine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Docker Compose + GitHub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Container orchestration, version control, testing, config</w:t>
            </w:r>
          </w:p>
        </w:tc>
      </w:tr>
    </w:tbl>
    <w:p>
      <w:pPr>
        <w:spacing w:after="120"/>
      </w:pPr>
    </w:p>
    <w:p>
      <w:pPr>
        <w:pBdr>
          <w:bottom w:val="single" w:color="2E75B6" w:sz="6" w:space="1"/>
        </w:pBdr>
        <w:spacing w:before="160" w:after="160"/>
      </w:pPr>
    </w:p>
    <w:p>
      <w:pPr>
        <w:pBdr>
          <w:left w:val="single" w:color="2E75B6" w:sz="20"/>
        </w:pBdr>
        <w:shd w:fill="D6E4F0" w:val="clear"/>
        <w:spacing w:before="280" w:after="1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  3. Architectural Patterns Applied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Eight recognised software engineering patterns are applied in this project. Each pattern was chosen deliberately to solve a specific problem — not added for complexity. An IBM reviewer or examiner should be able to point to any part of the codebase and trace it back to one of these patterns.</w:t>
      </w:r>
    </w:p>
    <w:p>
      <w:pPr>
        <w:spacing w:after="120"/>
      </w:pPr>
    </w:p>
    <w:p>
      <w:pPr>
        <w:spacing w:before="160" w:after="60"/>
        <w:jc w:val="center"/>
      </w:pPr>
      <w:r>
        <w:drawing>
          <wp:inline distT="0" distB="0" distL="0" distR="0">
            <wp:extent cx="6667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Figure 2: Eight architectural patterns applied in this project — each addresses a specific design concern.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160"/>
        <w:gridCol w:w="38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Pattern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Where applied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 it solves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3-Tier Architecture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Frontend / Backend / Database containers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Separates UI, logic, and storage. Each tier deployable independently.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Layered Architecture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Router → Schema → Service → ORM → DB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Prevents spaghetti dependencies. Each layer has one job.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Repository Pattern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SQLModel ORM as the data access layer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Services never write raw SQL. All DB access via a consistent interface.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Dependency Injection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FastAPI get_db() injected into routes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DB sessions created per-request and automatically closed. Clean test isolation.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Schema Separation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Separate Create/Update/Read Pydantic models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DB shape ≠ API shape. Internal fields never accidentally exposed.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Service Layer Pattern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expense_service.py, income_service.py, etc.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Zero business logic in routers. Services testable without HTTP context.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Twelve-Factor App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.env config, Docker, stateless processes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Environment parity, externalized config, reproducible builds.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Rule-Based AI Pattern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insights_service.py — 11 deterministic rules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external API dependency, no latency, fully auditable outputs for IBM review.</w:t>
            </w:r>
          </w:p>
        </w:tc>
      </w:tr>
    </w:tbl>
    <w:p>
      <w:pPr>
        <w:spacing w:after="120"/>
      </w:pPr>
    </w:p>
    <w:p>
      <w:pPr>
        <w:pBdr>
          <w:bottom w:val="single" w:color="2E75B6" w:sz="6" w:space="1"/>
        </w:pBdr>
        <w:spacing w:before="160" w:after="160"/>
      </w:pPr>
    </w:p>
    <w:p>
      <w:pPr>
        <w:pBdr>
          <w:left w:val="single" w:color="2E75B6" w:sz="20"/>
        </w:pBdr>
        <w:shd w:fill="D6E4F0" w:val="clear"/>
        <w:spacing w:before="280" w:after="1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  4. Technology Stack Map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diagram below maps every tool in the stack by its role and category. Each technology serves exactly one purpose — there is no overlap and no redundancy.</w:t>
      </w:r>
    </w:p>
    <w:p>
      <w:pPr>
        <w:spacing w:after="120"/>
      </w:pPr>
    </w:p>
    <w:p>
      <w:pPr>
        <w:spacing w:before="160" w:after="60"/>
        <w:jc w:val="center"/>
      </w:pPr>
      <w:r>
        <w:drawing>
          <wp:inline distT="0" distB="0" distL="0" distR="0">
            <wp:extent cx="6667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Figure 3: Technology stack map — all tools grouped by category (Frontend, Backend, Database, DevOps, Testing, Language) with their specific roles.</w:t>
      </w:r>
    </w:p>
    <w:p>
      <w:pPr>
        <w:spacing w:after="120"/>
      </w:pPr>
    </w:p>
    <w:p>
      <w:pPr>
        <w:pBdr>
          <w:bottom w:val="single" w:color="2E75B6" w:sz="6" w:space="1"/>
        </w:pBdr>
        <w:spacing w:before="160" w:after="160"/>
      </w:pPr>
    </w:p>
    <w:p>
      <w:pPr>
        <w:pBdr>
          <w:left w:val="single" w:color="2E75B6" w:sz="20"/>
        </w:pBdr>
        <w:shd w:fill="D6E4F0" w:val="clear"/>
        <w:spacing w:before="280" w:after="1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  5. Complete Tech Stack — Justified Decisions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Every technology choice below was evaluated against at least two alternatives. The 'Why not' column records what was considered and rejected, which is as important as what was chosen.</w:t>
      </w:r>
    </w:p>
    <w:p>
      <w:pPr>
        <w:spacing w:after="12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Backend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1400"/>
        <w:gridCol w:w="45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Chosen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Justification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API framework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FastAPI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0.110+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Async-native, automatic OpenAPI/Swagger docs, Pydantic integration, fastest Python framework for IBM review demonstrations. 3–5× faster than Flask in benchmarks.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ASGI server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Uvicorn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0.29+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Recommended by FastAPI. Handles concurrent requests via asyncio. Auto-reload in dev mode (--reload flag).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Validation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Pydantic v2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2.6+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Built into FastAPI. Rust-compiled core (10× faster than v1). Field-level error messages. Powers both request validation and settings management.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ORM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SQLModel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0.0.16+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Single class definition serves as both Pydantic model and SQLAlchemy table. Eliminates the duplication present in using SQLAlchemy + marshmallow separately.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python-dotenv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1.0+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Reads .env file into environment variables. Keeps all secrets out of source code. Gitignored by default.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Language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Python 3.11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3.11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Native async/await. Fastest CPython release (25% speed gain over 3.10). Industry standard for backend APIs. IBM-approved language.</w:t>
            </w:r>
          </w:p>
        </w:tc>
      </w:tr>
    </w:tbl>
    <w:p>
      <w:pPr>
        <w:spacing w:after="12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Frontend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1400"/>
        <w:gridCol w:w="45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Chosen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Justification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UI framework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React 18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18.x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Component-based architecture. Largest ecosystem of any JS framework. Hooks provide clean state management without Redux at this scale. IBM familiarity.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Build tool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Vite 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5.x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10–100× faster than Webpack for development hot reload. Native ES modules. Production bundles optimised via Rollup.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Charts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Recharts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2.x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Built specifically for React using SVG. Declarative API matches React's component model. Includes all chart types needed: pie, bar, line, progress. Lightweight (150KB).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HTTP client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Axios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1.x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Interceptors allow centralised error handling. Automatic JSON parsing. Better error objects than native fetch. Widely understood.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Routing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React Router v6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6.x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Industry standard for React SPAs. Nested routes for Dashboard/Expenses/Income/Budgets/Reports pages.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Language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JavaScript ES2022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ES2022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TypeScript was considered but adds build complexity without significant benefit for a single-developer project at this scope.</w:t>
            </w:r>
          </w:p>
        </w:tc>
      </w:tr>
    </w:tbl>
    <w:p>
      <w:pPr>
        <w:spacing w:after="12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Data &amp; infrastructure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1400"/>
        <w:gridCol w:w="45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Chosen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Justification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Database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20"/>
                <w:szCs w:val="20"/>
              </w:rPr>
              <w:t xml:space="preserve">PostgreSQL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ACID-compliant, relational, production-grade. Matches IBM submission requirements. Superior to MongoDB for structured financial data with relational queries (SUM by category, JOIN for budget status).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Containerisation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Docker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24+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Eliminates 'works on my machine' problem. Reproducible build for IBM submission. docker compose up --build is the single command that starts the entire stack.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Orchestration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Docker Compose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v2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Manages three containers (frontend, backend, db) with dependency ordering, shared network, and volume management in a single YAML file.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VCS remote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GitHub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Provides cloud backup, commit history for IBM review, branching (main/dev/feature/*), and release tags (v0.1 → v1.0).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VCS GUI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Sourcetree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4.x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Free Atlassian Git GUI. Visual branch management, commit staging, push/pull without CLI. Prevents accidental force-pushes to main.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pytest + httpx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latest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pytest is the Python testing standard. httpx's TestClient creates a real in-process FastAPI server for integration tests — no mock needed.</w:t>
            </w:r>
          </w:p>
        </w:tc>
      </w:tr>
    </w:tbl>
    <w:p>
      <w:pPr>
        <w:spacing w:after="120"/>
      </w:pPr>
    </w:p>
    <w:p>
      <w:pPr>
        <w:pBdr>
          <w:bottom w:val="single" w:color="2E75B6" w:sz="6" w:space="1"/>
        </w:pBdr>
        <w:spacing w:before="160" w:after="160"/>
      </w:pPr>
    </w:p>
    <w:p>
      <w:pPr>
        <w:pBdr>
          <w:left w:val="single" w:color="2E75B6" w:sz="20"/>
        </w:pBdr>
        <w:shd w:fill="D6E4F0" w:val="clear"/>
        <w:spacing w:before="280" w:after="1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  6. Technology Comparison — Why Not the Alternatives?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scoring charts below compare the chosen technology against the two most common alternatives across five criteria scored 0–10. The chosen technology is shown in full colour; alternatives are dimmed.</w:t>
      </w:r>
    </w:p>
    <w:p>
      <w:pPr>
        <w:spacing w:after="120"/>
      </w:pPr>
    </w:p>
    <w:p>
      <w:pPr>
        <w:spacing w:before="160" w:after="60"/>
        <w:jc w:val="center"/>
      </w:pPr>
      <w:r>
        <w:drawing>
          <wp:inline distT="0" distB="0" distL="0" distR="0">
            <wp:extent cx="6667500" cy="2505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0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Figure 4: Technology scoring matrices — FastAPI vs Flask vs Django, PostgreSQL vs MongoDB vs SQLite, React+Vite vs Vue 3 vs Vanilla JS. Scores across Dev Speed, Auto Docs, Async, IBM Fit, and more.</w:t>
      </w:r>
    </w:p>
    <w:p>
      <w:pPr>
        <w:spacing w:after="12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Backend framework decision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2400"/>
        <w:gridCol w:w="25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FastAPI (chosen)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Flask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Django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Auto Swagger docs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Built-in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Plugin needed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DRF addon needed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Async support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Native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With asyncio only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Limited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Pydantic integration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Native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Manual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Manual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Lines of code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Fewest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Most (ORM, admin, auth)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IBM suitability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High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Verdict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CHOSEN — best balance of speed and automatic documentation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Good, but requires more boilerplate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Overkill for single-user scope</w:t>
            </w:r>
          </w:p>
        </w:tc>
      </w:tr>
    </w:tbl>
    <w:p>
      <w:pPr>
        <w:spacing w:after="12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Database decision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2400"/>
        <w:gridCol w:w="25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PostgreSQL (chosen)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MongoDB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SQLite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ACID transactions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Full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Partial (WiredTiger)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Full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Financial queries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Excellent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Requires aggregation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Good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Docker image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Official :15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Official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File-based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IBM match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Explicitly req.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 mentioned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 production-grade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 structure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Relational (correct fit)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Document (poor fit)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Relational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20"/>
                <w:szCs w:val="20"/>
              </w:rPr>
              <w:t xml:space="preserve">Verdict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CHOSEN — relational data model, IBM requirement, Docker-native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Wrong data model for financial records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 suitable for production submission</w:t>
            </w:r>
          </w:p>
        </w:tc>
      </w:tr>
    </w:tbl>
    <w:p>
      <w:pPr>
        <w:spacing w:after="12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 Frontend framework decision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2400"/>
        <w:gridCol w:w="25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React + Vite (chosen)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Vue 3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Vanilla JS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IBM recognition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Highest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Good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Universal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Chart ecosystem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Recharts (perfect fit)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Vue-chartjs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Chart.js (manual)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Component model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Excellent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Excellent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Manual DOM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Build speed (dev)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Vite: instant HMR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Vite compatible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build needed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Talent pool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Largest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Growing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Universal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Verdict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CHOSEN — largest ecosystem, Recharts fit, IBM-familiar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Valid but smaller ecosystem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Insufficient for 9-widget dashboard</w:t>
            </w:r>
          </w:p>
        </w:tc>
      </w:tr>
    </w:tbl>
    <w:p>
      <w:pPr>
        <w:spacing w:after="120"/>
      </w:pPr>
    </w:p>
    <w:p>
      <w:pPr>
        <w:pBdr>
          <w:bottom w:val="single" w:color="2E75B6" w:sz="6" w:space="1"/>
        </w:pBdr>
        <w:spacing w:before="160" w:after="160"/>
      </w:pPr>
    </w:p>
    <w:p>
      <w:pPr>
        <w:pBdr>
          <w:left w:val="single" w:color="2E75B6" w:sz="20"/>
        </w:pBdr>
        <w:shd w:fill="D6E4F0" w:val="clear"/>
        <w:spacing w:before="280" w:after="1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  7. Frontend Architecture — React Component Design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React frontend is structured around pages and reusable components. State is managed with local hooks — no global state manager is needed at this scope. All API calls are centralised in the /src/api/ folder so the base URL is configured in one place.</w:t>
      </w:r>
    </w:p>
    <w:p>
      <w:pPr>
        <w:spacing w:after="12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Page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 / Route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Components / Widgets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Dashboard  /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pages/Dashboard.jsx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TotalSpendCard · TotalIncomeCard · NetBalanceCard · SpendByCategoryChart · BudgetVsActualChart · MonthlyTrendChart · RecentExpensesTable · RecentIncomeTable · AIInsightsPanel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Expenses  /expenses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pages/Expenses.jsx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ExpenseList · ExpenseForm · ExpenseFilters · DeleteConfirmModal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Income  /income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pages/Income.jsx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IncomeList · IncomeForm · IncomeFilters  [NEW v2.0]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Budgets  /budgets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pages/Budgets.jsx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BudgetList · BudgetForm · BudgetStatusBar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Reports  /reports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pages/Reports.jsx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MonthlySummaryCard · CategoryBreakdown · IncomeBySource · SavingsRateTrend · TopExpenses · ExportButton</w:t>
            </w:r>
          </w:p>
        </w:tc>
      </w:tr>
    </w:tbl>
    <w:p>
      <w:pPr>
        <w:spacing w:after="12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API layer — src/api/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Functions exported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expenses.js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getExpenses(), createExpense(), updateExpense(), deleteExpense(), exportExpensesCSV()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income.js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getIncome(), createIncome(), updateIncome(), deleteIncome(), exportIncomeCSV()  [NEW]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budgets.js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getBudgets(), setBudget(), getBudgetStatus()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reports.js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getMonthlySummary(), getByCategory(), getIncomeBySource(), getTrend(), getSavingsRate()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balance.js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getBalance(), getBalanceTrend()  [NEW]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insights.js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getInsights()</w:t>
            </w:r>
          </w:p>
        </w:tc>
      </w:tr>
    </w:tbl>
    <w:p>
      <w:pPr>
        <w:spacing w:after="120"/>
      </w:pPr>
    </w:p>
    <w:p>
      <w:pPr>
        <w:pBdr>
          <w:bottom w:val="single" w:color="2E75B6" w:sz="6" w:space="1"/>
        </w:pBdr>
        <w:spacing w:before="160" w:after="160"/>
      </w:pPr>
    </w:p>
    <w:p>
      <w:pPr>
        <w:pBdr>
          <w:left w:val="single" w:color="2E75B6" w:sz="20"/>
        </w:pBdr>
        <w:shd w:fill="D6E4F0" w:val="clear"/>
        <w:spacing w:before="280" w:after="1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  8. Backend Architecture — FastAPI Application Structure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FastAPI application is structured as a clean Python package. The entry point (main.py) wires together routers, middleware, and startup events. The factory pattern keeps configuration testable and avoids import-time side effects.</w:t>
      </w:r>
    </w:p>
    <w:p>
      <w:pPr>
        <w:spacing w:after="12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8.1 main.py responsibilities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Creates the FastAPI app instance with title, version, and description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Registers all routers under the /api/v1 prefix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Configures CORS to allow requests from localhost:5173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Registers the global exception handler for unhandled errors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Registers the startup event that creates DB tables if they don't exist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Registers the category seeder that populates default categories on first run</w:t>
      </w:r>
    </w:p>
    <w:p>
      <w:pPr>
        <w:spacing w:after="12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8.2 Dependency injection chain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FastAPI's Depends() system wires the database session into each endpoint automatically: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 in injection chain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get_db()  in database.py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Generator function. Opens a Session, yields it, closes it when the request ends. Ensures sessions are never leaked.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db: Session = Depends(get_db)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FastAPI resolves this in each route function. The same session instance is used throughout the entire request.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Service methods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Accept db: Session as a parameter. They do not open sessions themselves — they receive the injected session and use it.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conftest.py  in tests/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Overrides get_db() to inject a test SQLite session. This makes the entire test suite run without touching the real PostgreSQL database.</w:t>
            </w:r>
          </w:p>
        </w:tc>
      </w:tr>
    </w:tbl>
    <w:p>
      <w:pPr>
        <w:spacing w:after="120"/>
      </w:pPr>
    </w:p>
    <w:p>
      <w:pPr>
        <w:pBdr>
          <w:bottom w:val="single" w:color="2E75B6" w:sz="6" w:space="1"/>
        </w:pBdr>
        <w:spacing w:before="160" w:after="160"/>
      </w:pPr>
    </w:p>
    <w:p>
      <w:pPr>
        <w:pBdr>
          <w:left w:val="single" w:color="2E75B6" w:sz="20"/>
        </w:pBdr>
        <w:shd w:fill="D6E4F0" w:val="clear"/>
        <w:spacing w:before="280" w:after="1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  9. Data Architecture</w:t>
      </w:r>
    </w:p>
    <w:p>
      <w:pPr>
        <w:spacing w:after="12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9.1 Data model relationships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All four tables are independent — there are no foreign key relationships at the database level. Relationships are enforced at the service layer through category name matching. This design choice was deliberate: it keeps the schema simple, avoids CASCADE complexity, and allows categories to be renamed without cascading updates.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2000"/>
        <w:gridCol w:w="37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Rows expected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index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expenses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Hundreds per month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date (index)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category is a string FK to categories.name — enforced by service, not DB constraint.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income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Tens per month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date (index)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source is validated against INCOME_SOURCES enum in Pydantic, not a DB foreign key.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categories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~15 (mostly seeded)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name (unique index)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is_default=True rows cannot be deleted. Enforced at service layer.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budgets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~10 per month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category+month+year (unique)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Composite unique constraint prevents duplicate budgets per category per month.</w:t>
            </w:r>
          </w:p>
        </w:tc>
      </w:tr>
    </w:tbl>
    <w:p>
      <w:pPr>
        <w:spacing w:after="12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9.2 Data persistence strategy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pg_data named Docker volume mounted at /var/lib/postgresql/data inside the db container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Volume persists across docker compose down and docker compose up cycles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Volume is only deleted with docker compose down -v (intentional wipe)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 data migration tooling (Alembic) in v1 — schema created fresh on first run via SQLModel.metadata.create_all()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Demo seed data script available for IBM review: seeds 3 months of sample expenses, income, and budgets</w:t>
      </w:r>
    </w:p>
    <w:p>
      <w:pPr>
        <w:spacing w:after="120"/>
      </w:pPr>
    </w:p>
    <w:p>
      <w:pPr>
        <w:pBdr>
          <w:bottom w:val="single" w:color="2E75B6" w:sz="6" w:space="1"/>
        </w:pBdr>
        <w:spacing w:before="160" w:after="160"/>
      </w:pPr>
    </w:p>
    <w:p>
      <w:pPr>
        <w:pBdr>
          <w:left w:val="single" w:color="2E75B6" w:sz="20"/>
        </w:pBdr>
        <w:shd w:fill="D6E4F0" w:val="clear"/>
        <w:spacing w:before="280" w:after="1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  10. DevOps Architecture</w:t>
      </w:r>
    </w:p>
    <w:p>
      <w:pPr>
        <w:spacing w:after="12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10.1 Docker Compose service definitions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1800"/>
        <w:gridCol w:w="39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Ports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Depends on / Health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postgres:15-alpine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5432:5432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Health check: pg_isready -U postgres every 5s. Starts first.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backend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python:3.11-slim (custom)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8000:8000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depends_on: db (condition: service_healthy). Starts after DB is ready.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frontend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node:18-alpine (custom)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5173:5173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depends_on: backend. Starts last. VITE_API_URL injected as env.</w:t>
            </w:r>
          </w:p>
        </w:tc>
      </w:tr>
    </w:tbl>
    <w:p>
      <w:pPr>
        <w:spacing w:after="12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10.2 Environment variables (.env)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160"/>
        <w:gridCol w:w="3000"/>
        <w:gridCol w:w="100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 value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Used by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Secret?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DATABASE_URL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postgresql://user:pass@db:5432/tracker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backend — SQLModel engine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POSTGRES_USER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tracker_user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db container — init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POSTGRES_PASSWORD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securepassword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db container — init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POSTGRES_DB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tracker_db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db container — init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399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VITE_API_URL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http://localhost:8000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frontend — Axios base URL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399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.env file is gitignored. An .env.example file (no real values) is committed to the repository as a setup reference.</w:t>
      </w:r>
    </w:p>
    <w:p>
      <w:pPr>
        <w:spacing w:after="120"/>
      </w:pPr>
    </w:p>
    <w:p>
      <w:pPr>
        <w:pBdr>
          <w:bottom w:val="single" w:color="2E75B6" w:sz="6" w:space="1"/>
        </w:pBdr>
        <w:spacing w:before="160" w:after="160"/>
      </w:pPr>
    </w:p>
    <w:p>
      <w:pPr>
        <w:pBdr>
          <w:left w:val="single" w:color="2E75B6" w:sz="20"/>
        </w:pBdr>
        <w:shd w:fill="D6E4F0" w:val="clear"/>
        <w:spacing w:before="280" w:after="1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  11. Architecture Decision Records (ADRs)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An Architecture Decision Record (ADR) documents a significant decision, the context that drove it, the options considered, and the rationale for the choice. ADRs provide a permanent record for IBM reviewers and future developers.</w:t>
      </w:r>
    </w:p>
    <w:p>
      <w:pPr>
        <w:spacing w:after="12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ADR-001 — Use FastAPI over Flask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Status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Accepted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Context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Need a Python backend framework. Project requires auto-generated API documentation for IBM review demonstration.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Decision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 FastAPI with Uvicorn as the ASGI server.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Alternatives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Flask (no auto-docs, sync-only by default), Django (full ORM + admin = overkill for single user, no auto OpenAPI)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Consequences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Swagger UI available at /docs automatically. Pydantic validation built in. All team members must use Python 3.11+.</w:t>
            </w:r>
          </w:p>
        </w:tc>
      </w:tr>
    </w:tbl>
    <w:p>
      <w:pPr>
        <w:spacing w:after="12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ADR-002 — Use SQLModel over raw SQLAlchemy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Status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Accepted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Context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FastAPI uses Pydantic for request/response models. SQLAlchemy is the standard Python ORM. Maintaining two separate model classes for the same entity causes duplication.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Decision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 SQLModel — a library built by the FastAPI author that merges SQLAlchemy ORM and Pydantic into a single class definition.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Alternatives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SQLAlchemy + Pydantic separately (more code, sync issues), Tortoise ORM (async but less mature), Peewee (no Pydantic integration)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Consequences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Single model class per table. Less code. Minor: SQLModel is less mature than SQLAlchemy; some advanced SQLAlchemy features require workarounds.</w:t>
            </w:r>
          </w:p>
        </w:tc>
      </w:tr>
    </w:tbl>
    <w:p>
      <w:pPr>
        <w:spacing w:after="12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ADR-003 — Separate Income as a distinct model (not a flag on Expense)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Status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Accepted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Context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v2.0 adds income tracking. Option A: add a type='income'|'expense' flag to the existing transactions table. Option B: separate income table.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Decision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Option B — separate income table with its own fields (source vs category), its own service, its own router, and its own Pydantic schemas.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Alternatives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Single transactions table with type flag — simpler schema but forces nullable fields (source required for income, category required for expenses), messy queries.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Consequences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Slightly more code (one extra router, service, test file). Cleaner queries, no nulls, independently extensible, easier to add income-specific fields later.</w:t>
            </w:r>
          </w:p>
        </w:tc>
      </w:tr>
    </w:tbl>
    <w:p>
      <w:pPr>
        <w:spacing w:after="12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ADR-004 — Rule-based AI insights over LLM API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Status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Accepted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Context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PRD requires AI-based insights. Options: (A) call an external LLM API (OpenAI/Anthropic), (B) implement rule-based logic in Python.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Decision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Rule-based engine (Option B) — 11 deterministic rules implemented as pure Python in insights_service.py.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Alternatives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LLM API — requires API key, adds latency, costs money, non-deterministic outputs, fails without internet. Not appropriate for a local Docker submission.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Consequences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Outputs are fully deterministic and auditable for IBM review. No API key needed. Works offline. Slightly less flexible than an LLM, but more reliable and faster.</w:t>
            </w:r>
          </w:p>
        </w:tc>
      </w:tr>
    </w:tbl>
    <w:p>
      <w:pPr>
        <w:spacing w:after="12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ADR-005 — No authentication in v1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Status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Accepted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Context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PRD defines a single-user app running locally. IBM submission does not require multi-user support.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Decision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JWT, no sessions, no login in v1. API is open on localhost.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Alternatives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JWT + FastAPI security — adds 2–3 days of development time, adds complexity to frontend, and provides no practical security benefit for a local single-user demo.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Consequences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Faster delivery. Simpler frontend (no auth context). Architecture is designed to accept auth as a middleware layer in v2 without touching services or DB schema.</w:t>
            </w:r>
          </w:p>
        </w:tc>
      </w:tr>
    </w:tbl>
    <w:p>
      <w:pPr>
        <w:spacing w:after="120"/>
      </w:pPr>
    </w:p>
    <w:p>
      <w:pPr>
        <w:pBdr>
          <w:bottom w:val="single" w:color="2E75B6" w:sz="6" w:space="1"/>
        </w:pBdr>
        <w:spacing w:before="160" w:after="160"/>
      </w:pPr>
    </w:p>
    <w:p>
      <w:pPr>
        <w:pBdr>
          <w:left w:val="single" w:color="2E75B6" w:sz="20"/>
        </w:pBdr>
        <w:shd w:fill="D6E4F0" w:val="clear"/>
        <w:spacing w:before="280" w:after="1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  12. Document Sign-Off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Author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Sayu-V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19/3/2026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Approved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Reviewer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IBM Project Guide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Pending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⏳ Pending</w:t>
            </w:r>
          </w:p>
        </w:tc>
      </w:tr>
    </w:tbl>
    <w:p>
      <w:pPr>
        <w:spacing w:after="120"/>
      </w:pPr>
    </w:p>
    <w:p>
      <w:pPr>
        <w:spacing w:after="120"/>
      </w:pPr>
    </w:p>
    <w:p>
      <w:pPr>
        <w:pBdr>
          <w:top w:val="single" w:color="2E75B6" w:sz="4"/>
          <w:bottom w:val="single" w:color="2E75B6" w:sz="4"/>
        </w:pBdr>
        <w:spacing w:before="120" w:after="120"/>
        <w:jc w:val="center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Next documents: Security Design, then Database Design — both complete the planning phase before coding begins.</w:t>
      </w:r>
    </w:p>
    <w:p>
      <w:pPr>
        <w:spacing w:after="120"/>
      </w:pPr>
    </w:p>
    <w:p>
      <w:pPr>
        <w:spacing w:after="0"/>
        <w:jc w:val="center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END OF DOCUMENT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/>
      </w:pBdr>
      <w:tabs>
        <w:tab w:val="right" w:pos="9026"/>
      </w:tabs>
      <w:spacing w:before="60"/>
    </w:pPr>
    <w:r>
      <w:rPr>
        <w:rFonts w:ascii="Arial" w:cs="Arial" w:eastAsia="Arial" w:hAnsi="Arial"/>
        <w:color w:val="595959"/>
        <w:sz w:val="18"/>
        <w:szCs w:val="18"/>
      </w:rPr>
      <w:t xml:space="preserve">Sayu-V  |  Yenepoya University  |  IBM Student Project</w:t>
    </w:r>
    <w:r>
      <w:rPr>
        <w:rFonts w:ascii="Arial" w:cs="Arial" w:eastAsia="Arial" w:hAnsi="Arial"/>
        <w:color w:val="595959"/>
        <w:sz w:val="18"/>
        <w:szCs w:val="18"/>
      </w:rPr>
      <w:t xml:space="preserve">	Architecture v1.0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/>
      </w:pBdr>
      <w:spacing w:after="60"/>
    </w:pPr>
    <w:r>
      <w:rPr>
        <w:rFonts w:ascii="Arial" w:cs="Arial" w:eastAsia="Arial" w:hAnsi="Arial"/>
        <w:color w:val="595959"/>
        <w:sz w:val="18"/>
        <w:szCs w:val="18"/>
      </w:rPr>
      <w:t xml:space="preserve">EXPENSE &amp; INCOME TRACKER  |  ARCHITECTURE &amp; TECH STACK  | 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20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20" w:after="1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image" Target="media/cbf55db9ce7e274bdf5381a47e30112030acd7b3.png"/><Relationship Id="rId9" Type="http://schemas.openxmlformats.org/officeDocument/2006/relationships/image" Target="media/d024f7909d183f3314261f6f8f5be402447ec95d.png"/><Relationship Id="rId10" Type="http://schemas.openxmlformats.org/officeDocument/2006/relationships/image" Target="media/a83b7a31000debc2b030f9f228b098a03e32be1f.png"/><Relationship Id="rId11" Type="http://schemas.openxmlformats.org/officeDocument/2006/relationships/image" Target="media/ab700edbcba409c3b61840c4d42456b9f780f722.png"/><Relationship Id="rId12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2026-03-19T09:48:25.973Z</dcterms:created>
  <dcterms:modified xsi:type="dcterms:W3CDTF">2026-03-19T09:48:25.973Z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