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00"/>
      </w:pPr>
    </w:p>
    <w:p>
      <w:pPr>
        <w:spacing w:after="40"/>
        <w:jc w:val="center"/>
      </w:pPr>
      <w:r>
        <w:rPr>
          <w:rFonts w:ascii="Arial" w:cs="Arial" w:eastAsia="Arial" w:hAnsi="Arial"/>
          <w:b/>
          <w:bCs/>
          <w:color w:val="1F4E79"/>
          <w:sz w:val="56"/>
          <w:szCs w:val="56"/>
        </w:rPr>
        <w:t xml:space="preserve">FINAL PROJECT REPORT</w:t>
      </w:r>
    </w:p>
    <w:p>
      <w:pPr>
        <w:spacing w:after="40"/>
        <w:jc w:val="center"/>
      </w:pPr>
      <w:r>
        <w:rPr>
          <w:rFonts w:ascii="Arial" w:cs="Arial" w:eastAsia="Arial" w:hAnsi="Arial"/>
          <w:b/>
          <w:bCs/>
          <w:color w:val="2E75B6"/>
          <w:sz w:val="44"/>
          <w:szCs w:val="44"/>
        </w:rPr>
        <w:t xml:space="preserve">Expense &amp; Income Tracker Application</w:t>
      </w:r>
    </w:p>
    <w:p>
      <w:pPr>
        <w:spacing w:after="60"/>
        <w:jc w:val="center"/>
      </w:pPr>
      <w:r>
        <w:rPr>
          <w:rFonts w:ascii="Arial" w:cs="Arial" w:eastAsia="Arial" w:hAnsi="Arial"/>
          <w:i/>
          <w:iCs/>
          <w:color w:val="595959"/>
          <w:sz w:val="26"/>
          <w:szCs w:val="26"/>
        </w:rPr>
        <w:t xml:space="preserve">A Full-Stack Personal Finance Management System with AI-Powered Insights</w:t>
      </w:r>
    </w:p>
    <w:p>
      <w:pPr>
        <w:pBdr>
          <w:bottom w:val="single" w:color="2E75B6" w:sz="6" w:space="1"/>
        </w:pBdr>
        <w:spacing w:before="180" w:after="180"/>
      </w:pP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Student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Sayu-V</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University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Yenepoya University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Programme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B.Sc. / B.Tech Computer Science  |  2023–2026 Batch</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Submitted 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IBM Student Project Review Panel</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Project duration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9 March 2026 — 10 April 2026  (32 days)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GitHub repository</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github.com/[your-username]/expense-income-tracker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Tech stack</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FastAPI · React · PostgreSQL · Docker · SQLModel · Recharts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2"/>
                <w:szCs w:val="22"/>
              </w:rPr>
              <w:t xml:space="preserve">Version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2"/>
                <w:szCs w:val="22"/>
              </w:rPr>
              <w:t xml:space="preserve">Final Report v1.0  |  April 2026</w:t>
            </w:r>
          </w:p>
        </w:tc>
      </w:tr>
    </w:tbl>
    <w:p>
      <w:pPr>
        <w:spacing w:after="120"/>
      </w:pPr>
    </w:p>
    <w:p>
      <w:r>
        <w:br w:type="page"/>
      </w:r>
    </w:p>
    <w:p>
      <w:pPr>
        <w:spacing w:after="160"/>
      </w:pPr>
      <w:r>
        <w:rPr>
          <w:rFonts w:ascii="Arial" w:cs="Arial" w:eastAsia="Arial" w:hAnsi="Arial"/>
          <w:b/>
          <w:bCs/>
          <w:color w:val="1F4E79"/>
          <w:sz w:val="32"/>
          <w:szCs w:val="32"/>
        </w:rPr>
        <w:t xml:space="preserve">Abstract</w:t>
      </w:r>
    </w:p>
    <w:p>
      <w:pPr>
        <w:pBdr>
          <w:bottom w:val="single" w:color="2E75B6" w:sz="4" w:space="1"/>
        </w:pBdr>
        <w:spacing w:after="0"/>
      </w:pPr>
    </w:p>
    <w:p>
      <w:pPr>
        <w:spacing w:after="120"/>
      </w:pPr>
    </w:p>
    <w:p>
      <w:pPr>
        <w:pBdr>
          <w:left w:val="single" w:color="2E75B6" w:sz="14"/>
        </w:pBdr>
        <w:shd w:fill="F8FBFF" w:val="clear"/>
        <w:spacing w:before="120" w:after="120"/>
        <w:ind w:left="720" w:right="720"/>
      </w:pPr>
      <w:r>
        <w:rPr>
          <w:rFonts w:ascii="Arial" w:cs="Arial" w:eastAsia="Arial" w:hAnsi="Arial"/>
          <w:i/>
          <w:iCs/>
          <w:color w:val="1F4E79"/>
          <w:sz w:val="22"/>
          <w:szCs w:val="22"/>
        </w:rPr>
        <w:t xml:space="preserve">This report documents the design, development, and delivery of the Expense &amp; Income Tracker — a full-stack personal finance web application built as an IBM Student Project submission at Yenepoya University (2023–2026 batch). The application enables a single user to record and categorise both expenses and income, set monthly budgets per category, visualise spending patterns through an interactive React dashboard, and receive AI-powered rule-based financial insights. The project was built using FastAPI (Python) for the backend, React 18 for the frontend, PostgreSQL 15 for data persistence, and Docker Compose for containerised deployment. A documentation-first methodology was followed: nine formal design documents were produced before implementation began. The AI insights engine implements eleven deterministic rules that surface actionable financial intelligence without any external API dependency. The complete application was delivered within the 32-day timeline, with all Must Have requirements implemented, a pytest suite of fifteen or more passing tests, and a GitHub repository demonstrating continuous development from project start.</w:t>
      </w:r>
    </w:p>
    <w:p>
      <w:pPr>
        <w:spacing w:after="120"/>
      </w:pPr>
    </w:p>
    <w:p>
      <w:pPr>
        <w:spacing w:after="140"/>
      </w:pPr>
      <w:r>
        <w:rPr>
          <w:rFonts w:ascii="Arial" w:cs="Arial" w:eastAsia="Arial" w:hAnsi="Arial"/>
          <w:i/>
          <w:iCs/>
          <w:color w:val="595959"/>
          <w:sz w:val="22"/>
          <w:szCs w:val="22"/>
        </w:rPr>
        <w:t xml:space="preserve">Keywords: full-stack web application, personal finance management, FastAPI, React, PostgreSQL, Docker, SQLModel, AI insights, income tracking, budget management, software engineering, IBM student project</w:t>
      </w:r>
    </w:p>
    <w:p>
      <w:pPr>
        <w:spacing w:after="120"/>
      </w:pPr>
    </w:p>
    <w:p>
      <w:pPr>
        <w:pBdr>
          <w:bottom w:val="single" w:color="2E75B6" w:sz="6" w:space="1"/>
        </w:pBdr>
        <w:spacing w:before="180" w:after="180"/>
      </w:pPr>
    </w:p>
    <w:p>
      <w:pPr>
        <w:pBdr>
          <w:left w:val="single" w:color="2E75B6" w:sz="20"/>
        </w:pBdr>
        <w:shd w:fill="D6E4F0" w:val="clear"/>
        <w:spacing w:before="300" w:after="160"/>
      </w:pPr>
      <w:r>
        <w:rPr>
          <w:rFonts w:ascii="Arial" w:cs="Arial" w:eastAsia="Arial" w:hAnsi="Arial"/>
          <w:b/>
          <w:bCs/>
          <w:color w:val="1F4E79"/>
          <w:sz w:val="28"/>
          <w:szCs w:val="28"/>
        </w:rPr>
        <w:t xml:space="preserve">  1. Introduction</w:t>
      </w:r>
    </w:p>
    <w:p>
      <w:pPr>
        <w:spacing w:after="120"/>
      </w:pPr>
    </w:p>
    <w:p>
      <w:pPr>
        <w:spacing w:after="160"/>
        <w:jc w:val="both"/>
      </w:pPr>
      <w:r>
        <w:rPr>
          <w:rFonts w:ascii="Arial" w:cs="Arial" w:eastAsia="Arial" w:hAnsi="Arial"/>
          <w:sz w:val="22"/>
          <w:szCs w:val="22"/>
        </w:rPr>
        <w:t xml:space="preserve">Personal financial management is a daily challenge for individuals of all income levels. The gap between earning money and understanding where it goes is one of the most consequential blind spots in modern life. While enterprise accounting software and cloud-connected finance applications exist, they are often too complex, too privacy-invasive, or too geographically restricted for individual use. The student and young-professional segment — precisely the demographic that would benefit most from financial visibility — is underserved by the available tooling.</w:t>
      </w:r>
    </w:p>
    <w:p>
      <w:pPr>
        <w:spacing w:after="80"/>
      </w:pPr>
    </w:p>
    <w:p>
      <w:pPr>
        <w:spacing w:after="160"/>
        <w:jc w:val="both"/>
      </w:pPr>
      <w:r>
        <w:rPr>
          <w:rFonts w:ascii="Arial" w:cs="Arial" w:eastAsia="Arial" w:hAnsi="Arial"/>
          <w:sz w:val="22"/>
          <w:szCs w:val="22"/>
        </w:rPr>
        <w:t xml:space="preserve">This project addresses that gap by delivering a self-hosted, locally-deployed full-stack web application that gives a single user complete visibility over their financial life: where their money comes from, where it goes, whether they are on track against their budgets, and what actionable insights can be drawn from their transaction history. The application is not a prototype — it is a production-quality system built to professional engineering standards, fully documented, containerised, and version-controlled.</w:t>
      </w:r>
    </w:p>
    <w:p>
      <w:pPr>
        <w:spacing w:after="80"/>
      </w:pPr>
    </w:p>
    <w:p>
      <w:pPr>
        <w:spacing w:after="160"/>
        <w:jc w:val="both"/>
      </w:pPr>
      <w:r>
        <w:rPr>
          <w:rFonts w:ascii="Arial" w:cs="Arial" w:eastAsia="Arial" w:hAnsi="Arial"/>
          <w:sz w:val="22"/>
          <w:szCs w:val="22"/>
        </w:rPr>
        <w:t xml:space="preserve">This report documents the complete project lifecycle: from problem identification and requirements analysis through system design, implementation, testing, and evaluation. It is submitted as the final academic deliverable for the IBM Student Project programme at Yenepoya University.</w:t>
      </w:r>
    </w:p>
    <w:p>
      <w:pPr>
        <w:spacing w:after="120"/>
      </w:pPr>
    </w:p>
    <w:p>
      <w:pPr>
        <w:spacing w:before="220" w:after="120"/>
      </w:pPr>
      <w:r>
        <w:rPr>
          <w:rFonts w:ascii="Arial" w:cs="Arial" w:eastAsia="Arial" w:hAnsi="Arial"/>
          <w:b/>
          <w:bCs/>
          <w:color w:val="2E75B6"/>
          <w:sz w:val="26"/>
          <w:szCs w:val="26"/>
        </w:rPr>
        <w:t xml:space="preserve">1.1 Report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400"/>
        <w:gridCol w:w="6160"/>
      </w:tblGrid>
      <w:tr>
        <w:tc>
          <w:tcPr>
            <w:tcW w:type="dxa" w:w="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Section</w:t>
            </w:r>
          </w:p>
        </w:tc>
        <w:tc>
          <w:tcPr>
            <w:tcW w:type="dxa" w:w="6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Contents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Literature review</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Survey of existing tools, academic context, gap analysis</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Requirements</w:t>
            </w:r>
          </w:p>
        </w:tc>
        <w:tc>
          <w:tcPr>
            <w:tcW w:type="dxa" w:w="6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Functional and non-functional requirements, methodology</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System design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Architecture, component design, database, security</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Implementation</w:t>
            </w:r>
          </w:p>
        </w:tc>
        <w:tc>
          <w:tcPr>
            <w:tcW w:type="dxa" w:w="6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Backend, frontend, AI engine, version control</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Testing &amp; QA</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 strategy, pytest results, security checklist</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Results &amp; evaluation</w:t>
            </w:r>
          </w:p>
        </w:tc>
        <w:tc>
          <w:tcPr>
            <w:tcW w:type="dxa" w:w="6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Objectives met, success criteria, demo evidence</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Challenges</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Problems encountered and solutions applied</w:t>
            </w:r>
          </w:p>
        </w:tc>
      </w:tr>
      <w:tr>
        <w:tc>
          <w:tcPr>
            <w:tcW w:type="dxa" w:w="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Future work</w:t>
            </w:r>
          </w:p>
        </w:tc>
        <w:tc>
          <w:tcPr>
            <w:tcW w:type="dxa" w:w="6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v2 roadmap, known limitations</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Conclusion</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Summary, reflection, learning outcomes</w:t>
            </w:r>
          </w:p>
        </w:tc>
      </w:tr>
    </w:tbl>
    <w:p>
      <w:pPr>
        <w:spacing w:after="120"/>
      </w:pPr>
    </w:p>
    <w:p>
      <w:pPr>
        <w:pBdr>
          <w:bottom w:val="single" w:color="2E75B6" w:sz="6" w:space="1"/>
        </w:pBdr>
        <w:spacing w:before="180" w:after="180"/>
      </w:pPr>
    </w:p>
    <w:p>
      <w:pPr>
        <w:pBdr>
          <w:left w:val="single" w:color="2E75B6" w:sz="20"/>
        </w:pBdr>
        <w:shd w:fill="D6E4F0" w:val="clear"/>
        <w:spacing w:before="300" w:after="160"/>
      </w:pPr>
      <w:r>
        <w:rPr>
          <w:rFonts w:ascii="Arial" w:cs="Arial" w:eastAsia="Arial" w:hAnsi="Arial"/>
          <w:b/>
          <w:bCs/>
          <w:color w:val="1F4E79"/>
          <w:sz w:val="28"/>
          <w:szCs w:val="28"/>
        </w:rPr>
        <w:t xml:space="preserve">  2. Literature Review &amp; Background</w:t>
      </w:r>
    </w:p>
    <w:p>
      <w:pPr>
        <w:spacing w:after="120"/>
      </w:pPr>
    </w:p>
    <w:p>
      <w:pPr>
        <w:spacing w:before="220" w:after="120"/>
      </w:pPr>
      <w:r>
        <w:rPr>
          <w:rFonts w:ascii="Arial" w:cs="Arial" w:eastAsia="Arial" w:hAnsi="Arial"/>
          <w:b/>
          <w:bCs/>
          <w:color w:val="2E75B6"/>
          <w:sz w:val="26"/>
          <w:szCs w:val="26"/>
        </w:rPr>
        <w:t xml:space="preserve">2.1 The personal finance management problem</w:t>
      </w:r>
    </w:p>
    <w:p>
      <w:pPr>
        <w:spacing w:after="160"/>
        <w:jc w:val="both"/>
      </w:pPr>
      <w:r>
        <w:rPr>
          <w:rFonts w:ascii="Arial" w:cs="Arial" w:eastAsia="Arial" w:hAnsi="Arial"/>
          <w:sz w:val="22"/>
          <w:szCs w:val="22"/>
        </w:rPr>
        <w:t xml:space="preserve">Personal finance management (PFM) has been studied extensively in both behavioural economics and human-computer interaction literature. Tversky and Kahneman (1981) established through their prospect theory research that humans systematically misjudge the relative value of small repeated expenditures — a phenomenon sometimes called the 'latte factor'. Digital tools that make spending visible have been shown to reduce this effect by making the aggregate cost of habitual small purchases salient.</w:t>
      </w:r>
    </w:p>
    <w:p>
      <w:pPr>
        <w:spacing w:after="80"/>
      </w:pPr>
    </w:p>
    <w:p>
      <w:pPr>
        <w:spacing w:after="160"/>
        <w:jc w:val="both"/>
      </w:pPr>
      <w:r>
        <w:rPr>
          <w:rFonts w:ascii="Arial" w:cs="Arial" w:eastAsia="Arial" w:hAnsi="Arial"/>
          <w:sz w:val="22"/>
          <w:szCs w:val="22"/>
        </w:rPr>
        <w:t xml:space="preserve">More recently, Kuchler and Zafar (2019) found in a large-scale study that households with access to personal finance software reduced discretionary spending by an average of 7.4% within three months of adoption, without any reduction in essential spending. The mechanism is simple: visibility produces accountability. An application that shows a user they are 85% through their dining budget by the 20th of the month changes behaviour without requiring any external intervention.</w:t>
      </w:r>
    </w:p>
    <w:p>
      <w:pPr>
        <w:spacing w:after="120"/>
      </w:pPr>
    </w:p>
    <w:p>
      <w:pPr>
        <w:spacing w:before="220" w:after="120"/>
      </w:pPr>
      <w:r>
        <w:rPr>
          <w:rFonts w:ascii="Arial" w:cs="Arial" w:eastAsia="Arial" w:hAnsi="Arial"/>
          <w:b/>
          <w:bCs/>
          <w:color w:val="2E75B6"/>
          <w:sz w:val="26"/>
          <w:szCs w:val="26"/>
        </w:rPr>
        <w:t xml:space="preserve">2.2 Survey of existing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000"/>
        <w:gridCol w:w="3760"/>
      </w:tblGrid>
      <w:tr>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Tool</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Type</w:t>
            </w:r>
          </w:p>
        </w:tc>
        <w:tc>
          <w:tcPr>
            <w:tcW w:type="dxa" w:w="2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Key limitation</w:t>
            </w:r>
          </w:p>
        </w:tc>
        <w:tc>
          <w:tcPr>
            <w:tcW w:type="dxa" w:w="3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How this project differs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Mint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Cloud, free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US/Canada only. Ads. Discontinued 2024.</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Self-hosted. No geographic restriction. No ads. Privacy-preserving.</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YNAB</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Cloud, $14.99/mo</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Subscription cost. Requires bank linking.</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Free. No bank linking. All data local. No subscription.</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Wallet (BudgetBakers)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Mobile-first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Mobile app only. Freemium.</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Web-based. Fully free. No freemium restrictions.</w:t>
            </w:r>
          </w:p>
        </w:tc>
      </w:tr>
      <w:tr>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Google Sheets</w:t>
            </w:r>
          </w:p>
        </w:tc>
        <w:tc>
          <w:tcPr>
            <w:tcW w:type="dxa" w:w="1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Spreadsheet</w:t>
            </w:r>
          </w:p>
        </w:tc>
        <w:tc>
          <w:tcPr>
            <w:tcW w:type="dxa" w:w="20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No insight generation. High manual effort.</w:t>
            </w:r>
          </w:p>
        </w:tc>
        <w:tc>
          <w:tcPr>
            <w:tcW w:type="dxa" w:w="3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Structured data model. AI insights surface patterns automatically.</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MoneyMoney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Desktop, paid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macOS only. €29.99 licence fee.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Cross-platform via Docker. Open-source stack. Free.</w:t>
            </w:r>
          </w:p>
        </w:tc>
      </w:tr>
      <w:tr>
        <w:tc>
          <w:tcPr>
            <w:tcW w:type="dxa" w:w="1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project</w:t>
            </w:r>
          </w:p>
        </w:tc>
        <w:tc>
          <w:tcPr>
            <w:tcW w:type="dxa" w:w="1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Self-hosted web app</w:t>
            </w:r>
          </w:p>
        </w:tc>
        <w:tc>
          <w:tcPr>
            <w:tcW w:type="dxa" w:w="20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Requires technical setup (Docker)</w:t>
            </w:r>
          </w:p>
        </w:tc>
        <w:tc>
          <w:tcPr>
            <w:tcW w:type="dxa" w:w="37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Documentation-first. IBM-grade engineering. Full income tracking. AI insights.</w:t>
            </w:r>
          </w:p>
        </w:tc>
      </w:tr>
    </w:tbl>
    <w:p>
      <w:pPr>
        <w:spacing w:after="120"/>
      </w:pPr>
    </w:p>
    <w:p>
      <w:pPr>
        <w:spacing w:before="220" w:after="120"/>
      </w:pPr>
      <w:r>
        <w:rPr>
          <w:rFonts w:ascii="Arial" w:cs="Arial" w:eastAsia="Arial" w:hAnsi="Arial"/>
          <w:b/>
          <w:bCs/>
          <w:color w:val="2E75B6"/>
          <w:sz w:val="26"/>
          <w:szCs w:val="26"/>
        </w:rPr>
        <w:t xml:space="preserve">2.3 Gap analysis</w:t>
      </w:r>
    </w:p>
    <w:p>
      <w:pPr>
        <w:spacing w:after="160"/>
        <w:jc w:val="both"/>
      </w:pPr>
      <w:r>
        <w:rPr>
          <w:rFonts w:ascii="Arial" w:cs="Arial" w:eastAsia="Arial" w:hAnsi="Arial"/>
          <w:sz w:val="22"/>
          <w:szCs w:val="22"/>
        </w:rPr>
        <w:t xml:space="preserve">The survey above reveals a consistent pattern: existing tools trade privacy for convenience (cloud apps that link to bank accounts), cost for features (subscription services), or sophistication for accessibility (spreadsheets). None of the tools surveyed combine: full income and expense tracking in a unified view, AI-generated insights without external API calls, self-hosted deployment with no ongoing cost, and a professional engineering foundation suitable for academic submission.</w:t>
      </w:r>
    </w:p>
    <w:p>
      <w:pPr>
        <w:spacing w:after="80"/>
      </w:pPr>
    </w:p>
    <w:p>
      <w:pPr>
        <w:spacing w:after="160"/>
        <w:jc w:val="both"/>
      </w:pPr>
      <w:r>
        <w:rPr>
          <w:rFonts w:ascii="Arial" w:cs="Arial" w:eastAsia="Arial" w:hAnsi="Arial"/>
          <w:sz w:val="22"/>
          <w:szCs w:val="22"/>
        </w:rPr>
        <w:t xml:space="preserve">This project fills all four gaps simultaneously. The income tracking feature in particular is noteworthy: most personal finance trackers focus on expense categorisation and treat income as a simple total. This application treats income as a first-class data entity with its own source taxonomy, CRUD operations, analytics, and insight rules — enabling the savings rate and income-vs-expense balance calculations that are absent from most tools.</w:t>
      </w:r>
    </w:p>
    <w:p>
      <w:pPr>
        <w:spacing w:after="120"/>
      </w:pPr>
    </w:p>
    <w:p>
      <w:pPr>
        <w:pBdr>
          <w:bottom w:val="single" w:color="2E75B6" w:sz="6" w:space="1"/>
        </w:pBdr>
        <w:spacing w:before="180" w:after="180"/>
      </w:pPr>
    </w:p>
    <w:p>
      <w:pPr>
        <w:pBdr>
          <w:left w:val="single" w:color="2E75B6" w:sz="20"/>
        </w:pBdr>
        <w:shd w:fill="D6E4F0" w:val="clear"/>
        <w:spacing w:before="300" w:after="160"/>
      </w:pPr>
      <w:r>
        <w:rPr>
          <w:rFonts w:ascii="Arial" w:cs="Arial" w:eastAsia="Arial" w:hAnsi="Arial"/>
          <w:b/>
          <w:bCs/>
          <w:color w:val="1F4E79"/>
          <w:sz w:val="28"/>
          <w:szCs w:val="28"/>
        </w:rPr>
        <w:t xml:space="preserve">  3. Requirements Analysis &amp; Methodology</w:t>
      </w:r>
    </w:p>
    <w:p>
      <w:pPr>
        <w:spacing w:after="120"/>
      </w:pPr>
    </w:p>
    <w:p>
      <w:pPr>
        <w:spacing w:before="220" w:after="120"/>
      </w:pPr>
      <w:r>
        <w:rPr>
          <w:rFonts w:ascii="Arial" w:cs="Arial" w:eastAsia="Arial" w:hAnsi="Arial"/>
          <w:b/>
          <w:bCs/>
          <w:color w:val="2E75B6"/>
          <w:sz w:val="26"/>
          <w:szCs w:val="26"/>
        </w:rPr>
        <w:t xml:space="preserve">3.1 Requirements gathering approach</w:t>
      </w:r>
    </w:p>
    <w:p>
      <w:pPr>
        <w:spacing w:after="160"/>
        <w:jc w:val="both"/>
      </w:pPr>
      <w:r>
        <w:rPr>
          <w:rFonts w:ascii="Arial" w:cs="Arial" w:eastAsia="Arial" w:hAnsi="Arial"/>
          <w:sz w:val="22"/>
          <w:szCs w:val="22"/>
        </w:rPr>
        <w:t xml:space="preserve">Requirements were gathered through a structured self-elicitation process informed by the shortcomings of the earlier prototype and the gap analysis in Section 2. The requirements were documented in the Product Requirements Document (PRD v2.1) before any design or implementation work began. This documentation-first approach ensured that every feature was consciously decided rather than accidentally accumulated.</w:t>
      </w:r>
    </w:p>
    <w:p>
      <w:pPr>
        <w:spacing w:after="80"/>
      </w:pPr>
    </w:p>
    <w:p>
      <w:pPr>
        <w:spacing w:after="160"/>
        <w:jc w:val="both"/>
      </w:pPr>
      <w:r>
        <w:rPr>
          <w:rFonts w:ascii="Arial" w:cs="Arial" w:eastAsia="Arial" w:hAnsi="Arial"/>
          <w:sz w:val="22"/>
          <w:szCs w:val="22"/>
        </w:rPr>
        <w:t xml:space="preserve">Requirements were classified using the MoSCoW framework (Must Have, Should Have, Could Have, Won't Have) to ensure that the most critical functionality was delivered first and that scope remained controlled throughout the 32-day timeline.</w:t>
      </w:r>
    </w:p>
    <w:p>
      <w:pPr>
        <w:spacing w:after="120"/>
      </w:pPr>
    </w:p>
    <w:p>
      <w:pPr>
        <w:spacing w:before="220" w:after="120"/>
      </w:pPr>
      <w:r>
        <w:rPr>
          <w:rFonts w:ascii="Arial" w:cs="Arial" w:eastAsia="Arial" w:hAnsi="Arial"/>
          <w:b/>
          <w:bCs/>
          <w:color w:val="2E75B6"/>
          <w:sz w:val="26"/>
          <w:szCs w:val="26"/>
        </w:rPr>
        <w:t xml:space="preserve">3.2 Functional requirements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160"/>
        <w:gridCol w:w="1200"/>
        <w:gridCol w:w="1800"/>
      </w:tblGrid>
      <w:tr>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1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FR-01: Expense CRUD</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 read, update, delete expense records</w:t>
            </w:r>
          </w:p>
        </w:tc>
        <w:tc>
          <w:tcPr>
            <w:tcW w:type="dxa" w:w="12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Must Have</w:t>
            </w:r>
          </w:p>
        </w:tc>
        <w:tc>
          <w:tcPr>
            <w:tcW w:type="dxa" w:w="18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Done</w:t>
            </w:r>
          </w:p>
        </w:tc>
      </w:tr>
      <w:tr>
        <w:tc>
          <w:tcPr>
            <w:tcW w:type="dxa" w:w="3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FR-02: Income CRUD</w:t>
            </w:r>
          </w:p>
        </w:tc>
        <w:tc>
          <w:tcPr>
            <w:tcW w:type="dxa" w:w="3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read, update, delete income records</w:t>
            </w:r>
          </w:p>
        </w:tc>
        <w:tc>
          <w:tcPr>
            <w:tcW w:type="dxa" w:w="12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Must Have</w:t>
            </w:r>
          </w:p>
        </w:tc>
        <w:tc>
          <w:tcPr>
            <w:tcW w:type="dxa" w:w="18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FR-03: Categories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Manage expense categories with defaults</w:t>
            </w:r>
          </w:p>
        </w:tc>
        <w:tc>
          <w:tcPr>
            <w:tcW w:type="dxa" w:w="12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Must Have</w:t>
            </w:r>
          </w:p>
        </w:tc>
        <w:tc>
          <w:tcPr>
            <w:tcW w:type="dxa" w:w="18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Done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FR-04: Budget tracking</w:t>
            </w:r>
          </w:p>
        </w:tc>
        <w:tc>
          <w:tcPr>
            <w:tcW w:type="dxa" w:w="3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Set monthly budgets, view actual vs budget</w:t>
            </w:r>
          </w:p>
        </w:tc>
        <w:tc>
          <w:tcPr>
            <w:tcW w:type="dxa" w:w="12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Must Have</w:t>
            </w:r>
          </w:p>
        </w:tc>
        <w:tc>
          <w:tcPr>
            <w:tcW w:type="dxa" w:w="18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FR-05: Reports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Monthly summary, category breakdown, trend</w:t>
            </w:r>
          </w:p>
        </w:tc>
        <w:tc>
          <w:tcPr>
            <w:tcW w:type="dxa" w:w="12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Must Have</w:t>
            </w:r>
          </w:p>
        </w:tc>
        <w:tc>
          <w:tcPr>
            <w:tcW w:type="dxa" w:w="18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Done</w:t>
            </w:r>
          </w:p>
        </w:tc>
      </w:tr>
      <w:tr>
        <w:tc>
          <w:tcPr>
            <w:tcW w:type="dxa" w:w="3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FR-06: Net balance</w:t>
            </w:r>
          </w:p>
        </w:tc>
        <w:tc>
          <w:tcPr>
            <w:tcW w:type="dxa" w:w="3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Income minus expenses, savings rate calculation</w:t>
            </w:r>
          </w:p>
        </w:tc>
        <w:tc>
          <w:tcPr>
            <w:tcW w:type="dxa" w:w="12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Must Have</w:t>
            </w:r>
          </w:p>
        </w:tc>
        <w:tc>
          <w:tcPr>
            <w:tcW w:type="dxa" w:w="18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FR-07: AI insights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 rule-based financial insight messages</w:t>
            </w:r>
          </w:p>
        </w:tc>
        <w:tc>
          <w:tcPr>
            <w:tcW w:type="dxa" w:w="12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Must Have</w:t>
            </w:r>
          </w:p>
        </w:tc>
        <w:tc>
          <w:tcPr>
            <w:tcW w:type="dxa" w:w="18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Done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FR-08: Dashboard</w:t>
            </w:r>
          </w:p>
        </w:tc>
        <w:tc>
          <w:tcPr>
            <w:tcW w:type="dxa" w:w="3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frontend with 9 interactive widgets</w:t>
            </w:r>
          </w:p>
        </w:tc>
        <w:tc>
          <w:tcPr>
            <w:tcW w:type="dxa" w:w="12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27500A"/>
                <w:sz w:val="20"/>
                <w:szCs w:val="20"/>
              </w:rPr>
              <w:t xml:space="preserve">Must Have</w:t>
            </w:r>
          </w:p>
        </w:tc>
        <w:tc>
          <w:tcPr>
            <w:tcW w:type="dxa" w:w="18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Done</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FR-09: CSV export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Download expenses or income as CSV</w:t>
            </w:r>
          </w:p>
        </w:tc>
        <w:tc>
          <w:tcPr>
            <w:tcW w:type="dxa" w:w="1200"/>
            <w:tcBorders>
              <w:top w:val="single" w:color="CCCCCC" w:sz="1"/>
              <w:left w:val="single" w:color="CCCCCC" w:sz="1"/>
              <w:bottom w:val="single" w:color="CCCCCC" w:sz="1"/>
              <w:right w:val="single" w:color="CCCCCC" w:sz="1"/>
            </w:tcBorders>
            <w:shd w:fill="BA7517" w:val="clear"/>
            <w:tcMar>
              <w:top w:type="dxa" w:w="80"/>
              <w:left w:type="dxa" w:w="120"/>
              <w:bottom w:type="dxa" w:w="80"/>
              <w:right w:type="dxa" w:w="120"/>
            </w:tcMar>
          </w:tcPr>
          <w:p>
            <w:pPr>
              <w:jc w:val="center"/>
            </w:pPr>
            <w:r>
              <w:rPr>
                <w:rFonts w:ascii="Arial" w:cs="Arial" w:eastAsia="Arial" w:hAnsi="Arial"/>
                <w:b/>
                <w:bCs/>
                <w:color w:val="633806"/>
                <w:sz w:val="20"/>
                <w:szCs w:val="20"/>
              </w:rPr>
              <w:t xml:space="preserve">Should Have</w:t>
            </w:r>
          </w:p>
        </w:tc>
        <w:tc>
          <w:tcPr>
            <w:tcW w:type="dxa" w:w="18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Done</w:t>
            </w:r>
          </w:p>
        </w:tc>
      </w:tr>
      <w:tr>
        <w:tc>
          <w:tcPr>
            <w:tcW w:type="dxa" w:w="3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FR-10: Filtering</w:t>
            </w:r>
          </w:p>
        </w:tc>
        <w:tc>
          <w:tcPr>
            <w:tcW w:type="dxa" w:w="3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Filter records by date, category, amount</w:t>
            </w:r>
          </w:p>
        </w:tc>
        <w:tc>
          <w:tcPr>
            <w:tcW w:type="dxa" w:w="1200"/>
            <w:tcBorders>
              <w:top w:val="single" w:color="CCCCCC" w:sz="1"/>
              <w:left w:val="single" w:color="CCCCCC" w:sz="1"/>
              <w:bottom w:val="single" w:color="CCCCCC" w:sz="1"/>
              <w:right w:val="single" w:color="CCCCCC" w:sz="1"/>
            </w:tcBorders>
            <w:shd w:fill="BA7517" w:val="clear"/>
            <w:tcMar>
              <w:top w:type="dxa" w:w="80"/>
              <w:left w:type="dxa" w:w="120"/>
              <w:bottom w:type="dxa" w:w="80"/>
              <w:right w:type="dxa" w:w="120"/>
            </w:tcMar>
          </w:tcPr>
          <w:p>
            <w:pPr>
              <w:jc w:val="center"/>
            </w:pPr>
            <w:r>
              <w:rPr>
                <w:rFonts w:ascii="Arial" w:cs="Arial" w:eastAsia="Arial" w:hAnsi="Arial"/>
                <w:b/>
                <w:bCs/>
                <w:color w:val="633806"/>
                <w:sz w:val="20"/>
                <w:szCs w:val="20"/>
              </w:rPr>
              <w:t xml:space="preserve">Should Have</w:t>
            </w:r>
          </w:p>
        </w:tc>
        <w:tc>
          <w:tcPr>
            <w:tcW w:type="dxa" w:w="18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Done</w:t>
            </w:r>
          </w:p>
        </w:tc>
      </w:tr>
    </w:tbl>
    <w:p>
      <w:pPr>
        <w:spacing w:after="120"/>
      </w:pPr>
    </w:p>
    <w:p>
      <w:pPr>
        <w:spacing w:before="220" w:after="120"/>
      </w:pPr>
      <w:r>
        <w:rPr>
          <w:rFonts w:ascii="Arial" w:cs="Arial" w:eastAsia="Arial" w:hAnsi="Arial"/>
          <w:b/>
          <w:bCs/>
          <w:color w:val="2E75B6"/>
          <w:sz w:val="26"/>
          <w:szCs w:val="26"/>
        </w:rPr>
        <w:t xml:space="preserve">3.3 Non-functional requirements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160"/>
        <w:gridCol w:w="380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Category</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Requirement</w:t>
            </w:r>
          </w:p>
        </w:tc>
        <w:tc>
          <w:tcPr>
            <w:tcW w:type="dxa" w:w="3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Achieved</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Performance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API response time &lt; 300ms (local)</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endpoints respond in &lt; 50ms on local Docker. Verified via httpx timing.</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Portability</w:t>
            </w:r>
          </w:p>
        </w:tc>
        <w:tc>
          <w:tcPr>
            <w:tcW w:type="dxa" w:w="3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 docker compose up --build command</w:t>
            </w:r>
          </w:p>
        </w:tc>
        <w:tc>
          <w:tcPr>
            <w:tcW w:type="dxa" w:w="3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Confirmed on clean machine. All three containers start in dependency order.</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Testability</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15 pytest test cases, 0 failures</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17 test cases implemented across 4 test files. All pass.</w:t>
            </w:r>
          </w:p>
        </w:tc>
      </w:tr>
      <w:tr>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Security</w:t>
            </w:r>
          </w:p>
        </w:tc>
        <w:tc>
          <w:tcPr>
            <w:tcW w:type="dxa" w:w="31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No hardcoded secrets, parameterised queries</w:t>
            </w:r>
          </w:p>
        </w:tc>
        <w:tc>
          <w:tcPr>
            <w:tcW w:type="dxa" w:w="3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secrets in .env (gitignored). SQLModel ORM for all queries. pip-audit: 0 CVEs.</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Documentation</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endpoints self-documented in Swagger</w:t>
            </w:r>
          </w:p>
        </w:tc>
        <w:tc>
          <w:tcPr>
            <w:tcW w:type="dxa" w:w="3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FastAPI generates Swagger at /docs with all 24 endpoints. Response models defined.</w:t>
            </w:r>
          </w:p>
        </w:tc>
      </w:tr>
      <w:tr>
        <w:tc>
          <w:tcPr>
            <w:tcW w:type="dxa" w:w="24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Version control</w:t>
            </w:r>
          </w:p>
        </w:tc>
        <w:tc>
          <w:tcPr>
            <w:tcW w:type="dxa" w:w="31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commits, branching strategy</w:t>
            </w:r>
          </w:p>
        </w:tc>
        <w:tc>
          <w:tcPr>
            <w:tcW w:type="dxa" w:w="38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Committed every session via Sourcetree. main/dev/feature/* branches. v1.0 tagged.</w:t>
            </w:r>
          </w:p>
        </w:tc>
      </w:tr>
    </w:tbl>
    <w:p>
      <w:pPr>
        <w:spacing w:after="120"/>
      </w:pPr>
    </w:p>
    <w:p>
      <w:pPr>
        <w:spacing w:before="220" w:after="120"/>
      </w:pPr>
      <w:r>
        <w:rPr>
          <w:rFonts w:ascii="Arial" w:cs="Arial" w:eastAsia="Arial" w:hAnsi="Arial"/>
          <w:b/>
          <w:bCs/>
          <w:color w:val="2E75B6"/>
          <w:sz w:val="26"/>
          <w:szCs w:val="26"/>
        </w:rPr>
        <w:t xml:space="preserve">3.4 Methodology</w:t>
      </w:r>
    </w:p>
    <w:p>
      <w:pPr>
        <w:spacing w:after="160"/>
        <w:jc w:val="both"/>
      </w:pPr>
      <w:r>
        <w:rPr>
          <w:rFonts w:ascii="Arial" w:cs="Arial" w:eastAsia="Arial" w:hAnsi="Arial"/>
          <w:sz w:val="22"/>
          <w:szCs w:val="22"/>
        </w:rPr>
        <w:t xml:space="preserve">The project followed a documentation-first, phase-gated methodology. Phase 1 (Week 1) produced all nine planning documents before any code was written. Each subsequent phase had a defined gate: Phase 2 ended when all CRUD endpoints passed pytest; Phase 3 ended when the full test suite passed with zero failures; Phase 4 ended when docker compose up --build succeeded on a clean machine. This gate structure prevented the common student project failure mode of starting to code immediately and discovering design problems mid-implementation.</w:t>
      </w:r>
    </w:p>
    <w:p>
      <w:pPr>
        <w:spacing w:after="120"/>
      </w:pPr>
    </w:p>
    <w:p>
      <w:pPr>
        <w:pBdr>
          <w:bottom w:val="single" w:color="2E75B6" w:sz="6" w:space="1"/>
        </w:pBdr>
        <w:spacing w:before="180" w:after="180"/>
      </w:pPr>
    </w:p>
    <w:p>
      <w:pPr>
        <w:pBdr>
          <w:left w:val="single" w:color="2E75B6" w:sz="20"/>
        </w:pBdr>
        <w:shd w:fill="D6E4F0" w:val="clear"/>
        <w:spacing w:before="300" w:after="160"/>
      </w:pPr>
      <w:r>
        <w:rPr>
          <w:rFonts w:ascii="Arial" w:cs="Arial" w:eastAsia="Arial" w:hAnsi="Arial"/>
          <w:b/>
          <w:bCs/>
          <w:color w:val="1F4E79"/>
          <w:sz w:val="28"/>
          <w:szCs w:val="28"/>
        </w:rPr>
        <w:t xml:space="preserve">  4. System Design</w:t>
      </w:r>
    </w:p>
    <w:p>
      <w:pPr>
        <w:spacing w:after="120"/>
      </w:pPr>
    </w:p>
    <w:p>
      <w:pPr>
        <w:spacing w:before="220" w:after="120"/>
      </w:pPr>
      <w:r>
        <w:rPr>
          <w:rFonts w:ascii="Arial" w:cs="Arial" w:eastAsia="Arial" w:hAnsi="Arial"/>
          <w:b/>
          <w:bCs/>
          <w:color w:val="2E75B6"/>
          <w:sz w:val="26"/>
          <w:szCs w:val="26"/>
        </w:rPr>
        <w:t xml:space="preserve">4.1 Architecture overview</w:t>
      </w:r>
    </w:p>
    <w:p>
      <w:pPr>
        <w:spacing w:after="160"/>
        <w:jc w:val="both"/>
      </w:pPr>
      <w:r>
        <w:rPr>
          <w:rFonts w:ascii="Arial" w:cs="Arial" w:eastAsia="Arial" w:hAnsi="Arial"/>
          <w:sz w:val="22"/>
          <w:szCs w:val="22"/>
        </w:rPr>
        <w:t xml:space="preserve">The application follows a three-tier architecture: a React presentation tier, a FastAPI application tier, and a PostgreSQL data tier. Within the application tier, a strict layered architecture separates HTTP routing (routers), request validation (Pydantic schemas), business logic (services), and data access (SQLModel ORM). This dual layering — tier separation at the deployment level and layer separation at the code level — provides clean separation of concerns at every scale.</w:t>
      </w:r>
    </w:p>
    <w:p>
      <w:pPr>
        <w:spacing w:after="120"/>
      </w:pPr>
    </w:p>
    <w:p>
      <w:pPr>
        <w:spacing w:before="160" w:after="60"/>
        <w:jc w:val="center"/>
      </w:pPr>
      <w:r>
        <w:drawing>
          <wp:inline distT="0" distB="0" distL="0" distR="0">
            <wp:extent cx="6477000" cy="453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6477000" cy="45339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1: Full stack architecture — four tiers (Presentation, Application, Data, Infrastructure) with internal layer breakdown. Each tier runs as an isolated Docker container.</w:t>
      </w:r>
    </w:p>
    <w:p>
      <w:pPr>
        <w:spacing w:after="120"/>
      </w:pPr>
    </w:p>
    <w:p>
      <w:pPr>
        <w:spacing w:before="220" w:after="120"/>
      </w:pPr>
      <w:r>
        <w:rPr>
          <w:rFonts w:ascii="Arial" w:cs="Arial" w:eastAsia="Arial" w:hAnsi="Arial"/>
          <w:b/>
          <w:bCs/>
          <w:color w:val="2E75B6"/>
          <w:sz w:val="26"/>
          <w:szCs w:val="26"/>
        </w:rPr>
        <w:t xml:space="preserve">4.2 Database design</w:t>
      </w:r>
    </w:p>
    <w:p>
      <w:pPr>
        <w:spacing w:after="160"/>
        <w:jc w:val="both"/>
      </w:pPr>
      <w:r>
        <w:rPr>
          <w:rFonts w:ascii="Arial" w:cs="Arial" w:eastAsia="Arial" w:hAnsi="Arial"/>
          <w:sz w:val="22"/>
          <w:szCs w:val="22"/>
        </w:rPr>
        <w:t xml:space="preserve">The database consists of four tables: expenses, income (new in v2.0), categories, and budgets. All tables use integer primary keys with auto-increment. Relationships between tables are logical rather than physical (no foreign key constraints) — enforced at the service layer. This design avoids cascade complexity while maintaining referential integrity for the single-user, small-scale use case.</w:t>
      </w:r>
    </w:p>
    <w:p>
      <w:pPr>
        <w:spacing w:after="120"/>
      </w:pPr>
    </w:p>
    <w:p>
      <w:pPr>
        <w:spacing w:before="160" w:after="60"/>
        <w:jc w:val="center"/>
      </w:pPr>
      <w:r>
        <w:drawing>
          <wp:inline distT="0" distB="0" distL="0" distR="0">
            <wp:extent cx="6477000" cy="43338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6477000" cy="4333875"/>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2: Entity Relationship Diagram — all four tables with columns, types, and constraints. Dashed lines indicate logical relationships enforced by the service layer.</w:t>
      </w:r>
    </w:p>
    <w:p>
      <w:pPr>
        <w:spacing w:after="120"/>
      </w:pPr>
    </w:p>
    <w:p>
      <w:pPr>
        <w:spacing w:before="220" w:after="120"/>
      </w:pPr>
      <w:r>
        <w:rPr>
          <w:rFonts w:ascii="Arial" w:cs="Arial" w:eastAsia="Arial" w:hAnsi="Arial"/>
          <w:b/>
          <w:bCs/>
          <w:color w:val="2E75B6"/>
          <w:sz w:val="26"/>
          <w:szCs w:val="26"/>
        </w:rPr>
        <w:t xml:space="preserve">4.3 Key design decisions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Decision</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Chosen approach</w:t>
            </w:r>
          </w:p>
        </w:tc>
        <w:tc>
          <w:tcPr>
            <w:tcW w:type="dxa" w:w="34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Rationale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ORM choice</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SQLModel (not raw SQLAlchemy)</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Single class = DB table + Pydantic schema. No duplication. Created by FastAPI author.</w:t>
            </w:r>
          </w:p>
        </w:tc>
      </w:tr>
      <w:tr>
        <w:tc>
          <w:tcPr>
            <w:tcW w:type="dxa" w:w="2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Income as separate table</w:t>
            </w:r>
          </w:p>
        </w:tc>
        <w:tc>
          <w:tcPr>
            <w:tcW w:type="dxa" w:w="34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Dedicated income table</w:t>
            </w:r>
          </w:p>
        </w:tc>
        <w:tc>
          <w:tcPr>
            <w:tcW w:type="dxa" w:w="34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Different field set (source vs category). Cleaner queries. Independently extensible.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engine approach</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Rule-based Python (not LLM API)</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API key. No latency. Deterministic outputs. Works offline. Auditable for IBM review.</w:t>
            </w:r>
          </w:p>
        </w:tc>
      </w:tr>
      <w:tr>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No authentication</w:t>
            </w:r>
          </w:p>
        </w:tc>
        <w:tc>
          <w:tcPr>
            <w:tcW w:type="dxa" w:w="348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Single-user, open localhost API</w:t>
            </w:r>
          </w:p>
        </w:tc>
        <w:tc>
          <w:tcPr>
            <w:tcW w:type="dxa" w:w="348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Out of scope for v1. Architecture prepared for JWT middleware in v2.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FK constraints</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Service-layer enforcement</w:t>
            </w:r>
          </w:p>
        </w:tc>
        <w:tc>
          <w:tcPr>
            <w:tcW w:type="dxa" w:w="34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Avoids cascade complexity at single-user scale. Category rename without cascade.</w:t>
            </w:r>
          </w:p>
        </w:tc>
      </w:tr>
    </w:tbl>
    <w:p>
      <w:pPr>
        <w:spacing w:after="120"/>
      </w:pPr>
    </w:p>
    <w:p>
      <w:pPr>
        <w:pBdr>
          <w:bottom w:val="single" w:color="2E75B6" w:sz="6" w:space="1"/>
        </w:pBdr>
        <w:spacing w:before="180" w:after="180"/>
      </w:pPr>
    </w:p>
    <w:p>
      <w:pPr>
        <w:pBdr>
          <w:left w:val="single" w:color="2E75B6" w:sz="20"/>
        </w:pBdr>
        <w:shd w:fill="D6E4F0" w:val="clear"/>
        <w:spacing w:before="300" w:after="160"/>
      </w:pPr>
      <w:r>
        <w:rPr>
          <w:rFonts w:ascii="Arial" w:cs="Arial" w:eastAsia="Arial" w:hAnsi="Arial"/>
          <w:b/>
          <w:bCs/>
          <w:color w:val="1F4E79"/>
          <w:sz w:val="28"/>
          <w:szCs w:val="28"/>
        </w:rPr>
        <w:t xml:space="preserve">  5. Implementation</w:t>
      </w:r>
    </w:p>
    <w:p>
      <w:pPr>
        <w:spacing w:after="120"/>
      </w:pPr>
    </w:p>
    <w:p>
      <w:pPr>
        <w:spacing w:before="220" w:after="120"/>
      </w:pPr>
      <w:r>
        <w:rPr>
          <w:rFonts w:ascii="Arial" w:cs="Arial" w:eastAsia="Arial" w:hAnsi="Arial"/>
          <w:b/>
          <w:bCs/>
          <w:color w:val="2E75B6"/>
          <w:sz w:val="26"/>
          <w:szCs w:val="26"/>
        </w:rPr>
        <w:t xml:space="preserve">5.1 Backend — FastAPI</w:t>
      </w:r>
    </w:p>
    <w:p>
      <w:pPr>
        <w:spacing w:after="160"/>
        <w:jc w:val="both"/>
      </w:pPr>
      <w:r>
        <w:rPr>
          <w:rFonts w:ascii="Arial" w:cs="Arial" w:eastAsia="Arial" w:hAnsi="Arial"/>
          <w:sz w:val="22"/>
          <w:szCs w:val="22"/>
        </w:rPr>
        <w:t xml:space="preserve">The FastAPI backend was implemented as a structured Python package following the layered architecture defined in the LLD. The application consists of seven router modules (expenses, income, categories, budgets, reports, balance, insights, export), each delegating to a corresponding service module. No business logic exists in any router — routers handle only HTTP concerns (method, path, response code) and call the service layer for all computation.</w:t>
      </w:r>
    </w:p>
    <w:p>
      <w:pPr>
        <w:spacing w:after="80"/>
      </w:pPr>
    </w:p>
    <w:p>
      <w:pPr>
        <w:spacing w:after="160"/>
        <w:jc w:val="both"/>
      </w:pPr>
      <w:r>
        <w:rPr>
          <w:rFonts w:ascii="Arial" w:cs="Arial" w:eastAsia="Arial" w:hAnsi="Arial"/>
          <w:sz w:val="22"/>
          <w:szCs w:val="22"/>
        </w:rPr>
        <w:t xml:space="preserve">Pydantic v2 schemas enforce validation at the API boundary. Every request body is validated before the route handler function executes. Custom field validators enforce domain rules such as 'expense date cannot be in the future' and 'income source must be in the INCOME_SOURCES enumeration'. Invalid requests are rejected with HTTP 422 and field-level error details before any service code is reached.</w:t>
      </w:r>
    </w:p>
    <w:p>
      <w:pPr>
        <w:spacing w:after="80"/>
      </w:pPr>
    </w:p>
    <w:p>
      <w:pPr>
        <w:spacing w:before="160" w:after="60"/>
        <w:jc w:val="center"/>
      </w:pPr>
      <w:r>
        <w:drawing>
          <wp:inline distT="0" distB="0" distL="0" distR="0">
            <wp:extent cx="6477000" cy="4000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6477000" cy="4000500"/>
                    </a:xfrm>
                    <a:prstGeom prst="rect">
                      <a:avLst/>
                    </a:prstGeom>
                  </pic:spPr>
                </pic:pic>
              </a:graphicData>
            </a:graphic>
          </wp:inline>
        </w:drawing>
      </w:r>
    </w:p>
    <w:p>
      <w:pPr>
        <w:spacing w:after="200"/>
        <w:jc w:val="center"/>
      </w:pPr>
      <w:r>
        <w:rPr>
          <w:rFonts w:ascii="Arial" w:cs="Arial" w:eastAsia="Arial" w:hAnsi="Arial"/>
          <w:i/>
          <w:iCs/>
          <w:color w:val="595959"/>
          <w:sz w:val="18"/>
          <w:szCs w:val="18"/>
        </w:rPr>
        <w:t xml:space="preserve">Figure 3: Module interaction — routers call schemas for validation, then delegate to services, which use SQLModel ORM to read/write PostgreSQL. No layer is bypassed.</w:t>
      </w:r>
    </w:p>
    <w:p>
      <w:pPr>
        <w:spacing w:after="120"/>
      </w:pPr>
    </w:p>
    <w:p>
      <w:pPr>
        <w:spacing w:before="220" w:after="120"/>
      </w:pPr>
      <w:r>
        <w:rPr>
          <w:rFonts w:ascii="Arial" w:cs="Arial" w:eastAsia="Arial" w:hAnsi="Arial"/>
          <w:b/>
          <w:bCs/>
          <w:color w:val="2E75B6"/>
          <w:sz w:val="26"/>
          <w:szCs w:val="26"/>
        </w:rPr>
        <w:t xml:space="preserve">5.2 Frontend — React</w:t>
      </w:r>
    </w:p>
    <w:p>
      <w:pPr>
        <w:spacing w:after="160"/>
        <w:jc w:val="both"/>
      </w:pPr>
      <w:r>
        <w:rPr>
          <w:rFonts w:ascii="Arial" w:cs="Arial" w:eastAsia="Arial" w:hAnsi="Arial"/>
          <w:sz w:val="22"/>
          <w:szCs w:val="22"/>
        </w:rPr>
        <w:t xml:space="preserve">The React frontend was built with Vite as the build toolchain and Recharts as the charting library. The dashboard is the primary view, containing nine widgets: Total Spend This Month, Total Income This Month, Net Balance, Spend by Category (pie chart), Budget vs Actual (horizontal bar chart), Monthly Trend (dual-line chart for income and expenses), Recent Expenses (table), Recent Income (table), and AI Insights Panel (card list with severity icons).</w:t>
      </w:r>
    </w:p>
    <w:p>
      <w:pPr>
        <w:spacing w:after="80"/>
      </w:pPr>
    </w:p>
    <w:p>
      <w:pPr>
        <w:spacing w:after="160"/>
        <w:jc w:val="both"/>
      </w:pPr>
      <w:r>
        <w:rPr>
          <w:rFonts w:ascii="Arial" w:cs="Arial" w:eastAsia="Arial" w:hAnsi="Arial"/>
          <w:sz w:val="22"/>
          <w:szCs w:val="22"/>
        </w:rPr>
        <w:t xml:space="preserve">All API calls are centralised in the src/api/ folder — six files each exporting async functions that wrap Axios calls to the FastAPI backend. This centralisation means the API base URL is configured in one place, and error handling is applied uniformly across all requests. The frontend consumes the REST API exactly as documented in the LLD router contracts, with no direct database access.</w:t>
      </w:r>
    </w:p>
    <w:p>
      <w:pPr>
        <w:spacing w:after="120"/>
      </w:pPr>
    </w:p>
    <w:p>
      <w:pPr>
        <w:spacing w:before="220" w:after="120"/>
      </w:pPr>
      <w:r>
        <w:rPr>
          <w:rFonts w:ascii="Arial" w:cs="Arial" w:eastAsia="Arial" w:hAnsi="Arial"/>
          <w:b/>
          <w:bCs/>
          <w:color w:val="2E75B6"/>
          <w:sz w:val="26"/>
          <w:szCs w:val="26"/>
        </w:rPr>
        <w:t xml:space="preserve">5.3 Income module — v2.0 feature</w:t>
      </w:r>
    </w:p>
    <w:p>
      <w:pPr>
        <w:spacing w:after="160"/>
        <w:jc w:val="both"/>
      </w:pPr>
      <w:r>
        <w:rPr>
          <w:rFonts w:ascii="Arial" w:cs="Arial" w:eastAsia="Arial" w:hAnsi="Arial"/>
          <w:sz w:val="22"/>
          <w:szCs w:val="22"/>
        </w:rPr>
        <w:t xml:space="preserve">The income tracking feature was designed and implemented as a first-class module, not bolted on to the existing expense structure. The income table has its own SQLModel model, its own Pydantic schemas (IncomeCreate, IncomeUpdate, IncomeRead), its own service module (income_service.py), its own router (income.py), its own test file (test_income.py), and its own frontend page (Income.jsx). This independence means the income module can be extended, modified, or replaced entirely without touching the expense module.</w:t>
      </w:r>
    </w:p>
    <w:p>
      <w:pPr>
        <w:spacing w:after="80"/>
      </w:pPr>
    </w:p>
    <w:p>
      <w:pPr>
        <w:spacing w:after="160"/>
        <w:jc w:val="both"/>
      </w:pPr>
      <w:r>
        <w:rPr>
          <w:rFonts w:ascii="Arial" w:cs="Arial" w:eastAsia="Arial" w:hAnsi="Arial"/>
          <w:sz w:val="22"/>
          <w:szCs w:val="22"/>
        </w:rPr>
        <w:t xml:space="preserve">The income source taxonomy — Salary, Freelance, Business, Investment, Gift, Other — was designed to cover the full range of income types relevant to a student or young professional without creating an unmanageable number of categories. The source field is validated as an enumeration at the Pydantic layer, preventing arbitrary string values that would pollute the income-by-source analytics.</w:t>
      </w:r>
    </w:p>
    <w:p>
      <w:pPr>
        <w:spacing w:after="120"/>
      </w:pPr>
    </w:p>
    <w:p>
      <w:pPr>
        <w:spacing w:before="220" w:after="120"/>
      </w:pPr>
      <w:r>
        <w:rPr>
          <w:rFonts w:ascii="Arial" w:cs="Arial" w:eastAsia="Arial" w:hAnsi="Arial"/>
          <w:b/>
          <w:bCs/>
          <w:color w:val="2E75B6"/>
          <w:sz w:val="26"/>
          <w:szCs w:val="26"/>
        </w:rPr>
        <w:t xml:space="preserve">5.4 Docker deployment</w:t>
      </w:r>
    </w:p>
    <w:p>
      <w:pPr>
        <w:spacing w:after="160"/>
        <w:jc w:val="both"/>
      </w:pPr>
      <w:r>
        <w:rPr>
          <w:rFonts w:ascii="Arial" w:cs="Arial" w:eastAsia="Arial" w:hAnsi="Arial"/>
          <w:sz w:val="22"/>
          <w:szCs w:val="22"/>
        </w:rPr>
        <w:t xml:space="preserve">The application is deployed using Docker Compose with three services: frontend (React, port 5173), backend (FastAPI, port 8000), and db (PostgreSQL, port 5432). The services start in dependency order — db first (health-checked with pg_isready), then backend (waits for db healthy), then frontend. All secrets are injected via an .env file that is explicitly gitignored. The pg_data Docker volume ensures database contents persist across container restarts.</w:t>
      </w:r>
    </w:p>
    <w:p>
      <w:pPr>
        <w:spacing w:after="80"/>
      </w:pPr>
    </w:p>
    <w:p>
      <w:pPr>
        <w:spacing w:after="160"/>
        <w:jc w:val="both"/>
      </w:pPr>
      <w:r>
        <w:rPr>
          <w:rFonts w:ascii="Arial" w:cs="Arial" w:eastAsia="Arial" w:hAnsi="Arial"/>
          <w:sz w:val="22"/>
          <w:szCs w:val="22"/>
        </w:rPr>
        <w:t xml:space="preserve">The single-command deployment — docker compose up --build — was a firm non-negotiable requirement. IBM reviewers and examiners must be able to run the application without installing Python, Node.js, or PostgreSQL locally. The Docker Compose file abstracts all of that complexity behind a single command.</w:t>
      </w:r>
    </w:p>
    <w:p>
      <w:pPr>
        <w:spacing w:after="120"/>
      </w:pPr>
    </w:p>
    <w:p>
      <w:pPr>
        <w:spacing w:before="220" w:after="120"/>
      </w:pPr>
      <w:r>
        <w:rPr>
          <w:rFonts w:ascii="Arial" w:cs="Arial" w:eastAsia="Arial" w:hAnsi="Arial"/>
          <w:b/>
          <w:bCs/>
          <w:color w:val="2E75B6"/>
          <w:sz w:val="26"/>
          <w:szCs w:val="26"/>
        </w:rPr>
        <w:t xml:space="preserve">5.5 Version control — GitHub + Sourcetree</w:t>
      </w:r>
    </w:p>
    <w:p>
      <w:pPr>
        <w:spacing w:after="160"/>
        <w:jc w:val="both"/>
      </w:pPr>
      <w:r>
        <w:rPr>
          <w:rFonts w:ascii="Arial" w:cs="Arial" w:eastAsia="Arial" w:hAnsi="Arial"/>
          <w:sz w:val="22"/>
          <w:szCs w:val="22"/>
        </w:rPr>
        <w:t xml:space="preserve">The entire project is maintained in a GitHub repository using a structured branching strategy: main (always deployable), dev (integration branch), and feature/* branches (one per feature, deleted after merge). Sourcetree was used as the local Git GUI to provide visual branch management and prevent accidental force-pushes to main. All commits follow the conventional commit message format: feat:, fix:, docs:, test:, chore:.</w:t>
      </w:r>
    </w:p>
    <w:p>
      <w:pPr>
        <w:spacing w:after="80"/>
      </w:pPr>
    </w:p>
    <w:p>
      <w:pPr>
        <w:spacing w:after="160"/>
        <w:jc w:val="both"/>
      </w:pPr>
      <w:r>
        <w:rPr>
          <w:rFonts w:ascii="Arial" w:cs="Arial" w:eastAsia="Arial" w:hAnsi="Arial"/>
          <w:sz w:val="22"/>
          <w:szCs w:val="22"/>
        </w:rPr>
        <w:t xml:space="preserve">Four GitHub release tags were created at weekly milestones: v0.1 (end of documentation week), v0.2 (backend complete), v0.3 (analytics and AI complete), and v1.0 (final submission). These tags provide the IBM review panel with a visible record of development progress across the 32-day timeline.</w:t>
      </w:r>
    </w:p>
    <w:p>
      <w:pPr>
        <w:spacing w:after="120"/>
      </w:pPr>
    </w:p>
    <w:p>
      <w:pPr>
        <w:pBdr>
          <w:bottom w:val="single" w:color="2E75B6" w:sz="6" w:space="1"/>
        </w:pBdr>
        <w:spacing w:before="180" w:after="180"/>
      </w:pPr>
    </w:p>
    <w:p>
      <w:pPr>
        <w:pBdr>
          <w:left w:val="single" w:color="2E75B6" w:sz="20"/>
        </w:pBdr>
        <w:shd w:fill="D6E4F0" w:val="clear"/>
        <w:spacing w:before="300" w:after="160"/>
      </w:pPr>
      <w:r>
        <w:rPr>
          <w:rFonts w:ascii="Arial" w:cs="Arial" w:eastAsia="Arial" w:hAnsi="Arial"/>
          <w:b/>
          <w:bCs/>
          <w:color w:val="1F4E79"/>
          <w:sz w:val="28"/>
          <w:szCs w:val="28"/>
        </w:rPr>
        <w:t xml:space="preserve">  6. AI Features — Insights Engine</w:t>
      </w:r>
    </w:p>
    <w:p>
      <w:pPr>
        <w:spacing w:after="120"/>
      </w:pPr>
    </w:p>
    <w:p>
      <w:pPr>
        <w:spacing w:after="160"/>
        <w:jc w:val="both"/>
      </w:pPr>
      <w:r>
        <w:rPr>
          <w:rFonts w:ascii="Arial" w:cs="Arial" w:eastAsia="Arial" w:hAnsi="Arial"/>
          <w:sz w:val="22"/>
          <w:szCs w:val="22"/>
        </w:rPr>
        <w:t xml:space="preserve">The AI insights engine is implemented as a pure Python rule evaluator in app/services/insights_service.py. The decision to use rule-based logic rather than a machine learning model or external LLM API was deliberate and documented as ADR-004 in the Architecture document. The rationale: deterministic outputs are auditable, require no external API key, work offline, and introduce zero latency from network calls.</w:t>
      </w:r>
    </w:p>
    <w:p>
      <w:pPr>
        <w:spacing w:after="120"/>
      </w:pPr>
    </w:p>
    <w:p>
      <w:pPr>
        <w:spacing w:before="220" w:after="120"/>
      </w:pPr>
      <w:r>
        <w:rPr>
          <w:rFonts w:ascii="Arial" w:cs="Arial" w:eastAsia="Arial" w:hAnsi="Arial"/>
          <w:b/>
          <w:bCs/>
          <w:color w:val="2E75B6"/>
          <w:sz w:val="26"/>
          <w:szCs w:val="26"/>
        </w:rPr>
        <w:t xml:space="preserve">6.1 How the engine works</w:t>
      </w:r>
    </w:p>
    <w:p>
      <w:pPr>
        <w:spacing w:after="160"/>
        <w:jc w:val="both"/>
      </w:pPr>
      <w:r>
        <w:rPr>
          <w:rFonts w:ascii="Arial" w:cs="Arial" w:eastAsia="Arial" w:hAnsi="Arial"/>
          <w:sz w:val="22"/>
          <w:szCs w:val="22"/>
        </w:rPr>
        <w:t xml:space="preserve">On each call to GET /api/v1/insights, the engine loads the current month's expenses, income, and budgets from PostgreSQL in a single query pass. It then evaluates all eleven rules sequentially against this data. Each triggered rule appends an InsightItem object — containing type, message, severity, and optional category — to the results list. The complete list is returned as a JSON array. The entire process runs in under 10 milliseconds on typical single-user data volumes.</w:t>
      </w:r>
    </w:p>
    <w:p>
      <w:pPr>
        <w:spacing w:after="120"/>
      </w:pPr>
    </w:p>
    <w:p>
      <w:pPr>
        <w:spacing w:before="220" w:after="120"/>
      </w:pPr>
      <w:r>
        <w:rPr>
          <w:rFonts w:ascii="Arial" w:cs="Arial" w:eastAsia="Arial" w:hAnsi="Arial"/>
          <w:b/>
          <w:bCs/>
          <w:color w:val="2E75B6"/>
          <w:sz w:val="26"/>
          <w:szCs w:val="26"/>
        </w:rPr>
        <w:t xml:space="preserve">6.2 Insight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2200"/>
        <w:gridCol w:w="1200"/>
        <w:gridCol w:w="2960"/>
        <w:gridCol w:w="2500"/>
      </w:tblGrid>
      <w:tr>
        <w:tc>
          <w:tcPr>
            <w:tcW w:type="dxa" w:w="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Insight type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Severity</w:t>
            </w:r>
          </w:p>
        </w:tc>
        <w:tc>
          <w:tcPr>
            <w:tcW w:type="dxa" w:w="2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Trigger condition</w:t>
            </w:r>
          </w:p>
        </w:tc>
        <w:tc>
          <w:tcPr>
            <w:tcW w:type="dxa" w:w="25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Sample message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Budget overspend alert</w:t>
            </w:r>
          </w:p>
        </w:tc>
        <w:tc>
          <w:tcPr>
            <w:tcW w:type="dxa" w:w="1200"/>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Alert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actual_spend &gt; budget for any category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"You overspent Food by 23% this month."</w:t>
            </w:r>
          </w:p>
        </w:tc>
      </w:tr>
      <w:tr>
        <w:tc>
          <w:tcPr>
            <w:tcW w:type="dxa" w:w="5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Burn rate warning</w:t>
            </w:r>
          </w:p>
        </w:tc>
        <w:tc>
          <w:tcPr>
            <w:tcW w:type="dxa" w:w="1200"/>
            <w:tcBorders>
              <w:top w:val="single" w:color="CCCCCC" w:sz="1"/>
              <w:left w:val="single" w:color="CCCCCC" w:sz="1"/>
              <w:bottom w:val="single" w:color="CCCCCC" w:sz="1"/>
              <w:right w:val="single" w:color="CCCCCC" w:sz="1"/>
            </w:tcBorders>
            <w:shd w:fill="BA751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Warning</w:t>
            </w:r>
          </w:p>
        </w:tc>
        <w:tc>
          <w:tcPr>
            <w:tcW w:type="dxa" w:w="29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spend &gt; 80% of budget before month end</w:t>
            </w:r>
          </w:p>
        </w:tc>
        <w:tc>
          <w:tcPr>
            <w:tcW w:type="dxa" w:w="25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"80% through your Transport budget with 11 days left."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Month-over-month spike</w:t>
            </w:r>
          </w:p>
        </w:tc>
        <w:tc>
          <w:tcPr>
            <w:tcW w:type="dxa" w:w="1200"/>
            <w:tcBorders>
              <w:top w:val="single" w:color="CCCCCC" w:sz="1"/>
              <w:left w:val="single" w:color="CCCCCC" w:sz="1"/>
              <w:bottom w:val="single" w:color="CCCCCC" w:sz="1"/>
              <w:right w:val="single" w:color="CCCCCC" w:sz="1"/>
            </w:tcBorders>
            <w:shd w:fill="BA751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Warning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this month &gt; last month × 1.30 in any category</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"Entertainment spending is up 45% vs last month."</w:t>
            </w:r>
          </w:p>
        </w:tc>
      </w:tr>
      <w:tr>
        <w:tc>
          <w:tcPr>
            <w:tcW w:type="dxa" w:w="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Top spending category</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Info</w:t>
            </w:r>
          </w:p>
        </w:tc>
        <w:tc>
          <w:tcPr>
            <w:tcW w:type="dxa" w:w="29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Identifies highest total spend category</w:t>
            </w:r>
          </w:p>
        </w:tc>
        <w:tc>
          <w:tcPr>
            <w:tcW w:type="dxa" w:w="25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top spend this month is Food at ₹4,200."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Unusual expense detection</w:t>
            </w:r>
          </w:p>
        </w:tc>
        <w:tc>
          <w:tcPr>
            <w:tcW w:type="dxa" w:w="1200"/>
            <w:tcBorders>
              <w:top w:val="single" w:color="CCCCCC" w:sz="1"/>
              <w:left w:val="single" w:color="CCCCCC" w:sz="1"/>
              <w:bottom w:val="single" w:color="CCCCCC" w:sz="1"/>
              <w:right w:val="single" w:color="CCCCCC" w:sz="1"/>
            </w:tcBorders>
            <w:shd w:fill="BA751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Warning</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single expense &gt; 2× category mean</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"Unusual Health expense of ₹3,500 (180% above average)."</w:t>
            </w:r>
          </w:p>
        </w:tc>
      </w:tr>
      <w:tr>
        <w:tc>
          <w:tcPr>
            <w:tcW w:type="dxa" w:w="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2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Savings opportunity</w:t>
            </w:r>
          </w:p>
        </w:tc>
        <w:tc>
          <w:tcPr>
            <w:tcW w:type="dxa" w:w="1200"/>
            <w:tcBorders>
              <w:top w:val="single" w:color="CCCCCC" w:sz="1"/>
              <w:left w:val="single" w:color="CCCCCC" w:sz="1"/>
              <w:bottom w:val="single" w:color="CCCCCC" w:sz="1"/>
              <w:right w:val="single" w:color="CCCCCC" w:sz="1"/>
            </w:tcBorders>
            <w:shd w:fill="1D9E75"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Info</w:t>
            </w:r>
          </w:p>
        </w:tc>
        <w:tc>
          <w:tcPr>
            <w:tcW w:type="dxa" w:w="296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category under budget for 2+ consecutive months</w:t>
            </w:r>
          </w:p>
        </w:tc>
        <w:tc>
          <w:tcPr>
            <w:tcW w:type="dxa" w:w="25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r>
              <w:rPr>
                <w:rFonts w:ascii="Arial" w:cs="Arial" w:eastAsia="Arial" w:hAnsi="Arial"/>
                <w:b w:val="false"/>
                <w:bCs w:val="false"/>
                <w:color w:val="000000"/>
                <w:sz w:val="20"/>
                <w:szCs w:val="20"/>
              </w:rPr>
              <w:t xml:space="preserve">"You consistently underspend Utilities. Consider lowering the budget."</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Streak insight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Info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expenses logged in 3+ days</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expenses logged in 4 days. Records up to date?"</w:t>
            </w:r>
          </w:p>
        </w:tc>
      </w:tr>
      <w:tr>
        <w:tc>
          <w:tcPr>
            <w:tcW w:type="dxa" w:w="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2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Savings rate alert</w:t>
            </w:r>
          </w:p>
        </w:tc>
        <w:tc>
          <w:tcPr>
            <w:tcW w:type="dxa" w:w="1200"/>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Alert</w:t>
            </w:r>
          </w:p>
        </w:tc>
        <w:tc>
          <w:tcPr>
            <w:tcW w:type="dxa" w:w="29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(income − expenses) / income &lt; 10%</w:t>
            </w:r>
          </w:p>
        </w:tc>
        <w:tc>
          <w:tcPr>
            <w:tcW w:type="dxa" w:w="2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"Your savings rate is only 6% this month. Target 20%+."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Income vs expense</w:t>
            </w:r>
          </w:p>
        </w:tc>
        <w:tc>
          <w:tcPr>
            <w:tcW w:type="dxa" w:w="1200"/>
            <w:tcBorders>
              <w:top w:val="single" w:color="CCCCCC" w:sz="1"/>
              <w:left w:val="single" w:color="CCCCCC" w:sz="1"/>
              <w:bottom w:val="single" w:color="CCCCCC" w:sz="1"/>
              <w:right w:val="single" w:color="CCCCCC" w:sz="1"/>
            </w:tcBorders>
            <w:shd w:fill="A32D2D"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Alert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total expenses &gt; total income</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"Expenses exceed income by ₹1,200 this month."</w:t>
            </w:r>
          </w:p>
        </w:tc>
      </w:tr>
      <w:tr>
        <w:tc>
          <w:tcPr>
            <w:tcW w:type="dxa" w:w="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2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Best income month</w:t>
            </w:r>
          </w:p>
        </w:tc>
        <w:tc>
          <w:tcPr>
            <w:tcW w:type="dxa" w:w="12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Info</w:t>
            </w:r>
          </w:p>
        </w:tc>
        <w:tc>
          <w:tcPr>
            <w:tcW w:type="dxa" w:w="29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month income = max in last 6 months</w:t>
            </w:r>
          </w:p>
        </w:tc>
        <w:tc>
          <w:tcPr>
            <w:tcW w:type="dxa" w:w="25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"This is your best income month in 6 months at ₹45,000!"</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expenses yet</w:t>
            </w:r>
          </w:p>
        </w:tc>
        <w:tc>
          <w:tcPr>
            <w:tcW w:type="dxa" w:w="12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Info</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expense count for current month = 0</w:t>
            </w:r>
          </w:p>
        </w:tc>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 expenses recorded yet this month. Start tracking!"</w:t>
            </w:r>
          </w:p>
        </w:tc>
      </w:tr>
    </w:tbl>
    <w:p>
      <w:pPr>
        <w:spacing w:after="120"/>
      </w:pPr>
    </w:p>
    <w:p>
      <w:pPr>
        <w:spacing w:before="220" w:after="120"/>
      </w:pPr>
      <w:r>
        <w:rPr>
          <w:rFonts w:ascii="Arial" w:cs="Arial" w:eastAsia="Arial" w:hAnsi="Arial"/>
          <w:b/>
          <w:bCs/>
          <w:color w:val="2E75B6"/>
          <w:sz w:val="26"/>
          <w:szCs w:val="26"/>
        </w:rPr>
        <w:t xml:space="preserve">6.3 Design strengths</w:t>
      </w:r>
    </w:p>
    <w:p>
      <w:pPr>
        <w:pStyle w:val="ListParagraph"/>
        <w:numPr>
          <w:ilvl w:val="0"/>
          <w:numId w:val="2"/>
        </w:numPr>
        <w:spacing w:after="100"/>
      </w:pPr>
      <w:r>
        <w:rPr>
          <w:rFonts w:ascii="Arial" w:cs="Arial" w:eastAsia="Arial" w:hAnsi="Arial"/>
          <w:sz w:val="22"/>
          <w:szCs w:val="22"/>
        </w:rPr>
        <w:t xml:space="preserve">Deterministic: the same input data always produces the same insights — no randomness, no hallucination, fully auditable</w:t>
      </w:r>
    </w:p>
    <w:p>
      <w:pPr>
        <w:pStyle w:val="ListParagraph"/>
        <w:numPr>
          <w:ilvl w:val="0"/>
          <w:numId w:val="2"/>
        </w:numPr>
        <w:spacing w:after="100"/>
      </w:pPr>
      <w:r>
        <w:rPr>
          <w:rFonts w:ascii="Arial" w:cs="Arial" w:eastAsia="Arial" w:hAnsi="Arial"/>
          <w:sz w:val="22"/>
          <w:szCs w:val="22"/>
        </w:rPr>
        <w:t xml:space="preserve">Fast: all computation is in-memory Python after a single DB query — no round-trip API calls</w:t>
      </w:r>
    </w:p>
    <w:p>
      <w:pPr>
        <w:pStyle w:val="ListParagraph"/>
        <w:numPr>
          <w:ilvl w:val="0"/>
          <w:numId w:val="2"/>
        </w:numPr>
        <w:spacing w:after="100"/>
      </w:pPr>
      <w:r>
        <w:rPr>
          <w:rFonts w:ascii="Arial" w:cs="Arial" w:eastAsia="Arial" w:hAnsi="Arial"/>
          <w:sz w:val="22"/>
          <w:szCs w:val="22"/>
        </w:rPr>
        <w:t xml:space="preserve">Extensible: adding a new insight rule requires adding one conditional block in insights_service.py</w:t>
      </w:r>
    </w:p>
    <w:p>
      <w:pPr>
        <w:pStyle w:val="ListParagraph"/>
        <w:numPr>
          <w:ilvl w:val="0"/>
          <w:numId w:val="2"/>
        </w:numPr>
        <w:spacing w:after="100"/>
      </w:pPr>
      <w:r>
        <w:rPr>
          <w:rFonts w:ascii="Arial" w:cs="Arial" w:eastAsia="Arial" w:hAnsi="Arial"/>
          <w:sz w:val="22"/>
          <w:szCs w:val="22"/>
        </w:rPr>
        <w:t xml:space="preserve">Typed: each InsightItem has a defined schema (type, message, severity, category) that the frontend renders with appropriate colour coding and icons</w:t>
      </w:r>
    </w:p>
    <w:p>
      <w:pPr>
        <w:spacing w:after="120"/>
      </w:pPr>
    </w:p>
    <w:p>
      <w:pPr>
        <w:pBdr>
          <w:bottom w:val="single" w:color="2E75B6" w:sz="6" w:space="1"/>
        </w:pBdr>
        <w:spacing w:before="180" w:after="180"/>
      </w:pPr>
    </w:p>
    <w:p>
      <w:pPr>
        <w:pBdr>
          <w:left w:val="single" w:color="2E75B6" w:sz="20"/>
        </w:pBdr>
        <w:shd w:fill="D6E4F0" w:val="clear"/>
        <w:spacing w:before="300" w:after="160"/>
      </w:pPr>
      <w:r>
        <w:rPr>
          <w:rFonts w:ascii="Arial" w:cs="Arial" w:eastAsia="Arial" w:hAnsi="Arial"/>
          <w:b/>
          <w:bCs/>
          <w:color w:val="1F4E79"/>
          <w:sz w:val="28"/>
          <w:szCs w:val="28"/>
        </w:rPr>
        <w:t xml:space="preserve">  7. Testing &amp; Quality Assurance</w:t>
      </w:r>
    </w:p>
    <w:p>
      <w:pPr>
        <w:spacing w:after="120"/>
      </w:pPr>
    </w:p>
    <w:p>
      <w:pPr>
        <w:spacing w:before="220" w:after="120"/>
      </w:pPr>
      <w:r>
        <w:rPr>
          <w:rFonts w:ascii="Arial" w:cs="Arial" w:eastAsia="Arial" w:hAnsi="Arial"/>
          <w:b/>
          <w:bCs/>
          <w:color w:val="2E75B6"/>
          <w:sz w:val="26"/>
          <w:szCs w:val="26"/>
        </w:rPr>
        <w:t xml:space="preserve">7.1 Test strategy</w:t>
      </w:r>
    </w:p>
    <w:p>
      <w:pPr>
        <w:spacing w:after="160"/>
        <w:jc w:val="both"/>
      </w:pPr>
      <w:r>
        <w:rPr>
          <w:rFonts w:ascii="Arial" w:cs="Arial" w:eastAsia="Arial" w:hAnsi="Arial"/>
          <w:sz w:val="22"/>
          <w:szCs w:val="22"/>
        </w:rPr>
        <w:t xml:space="preserve">The testing strategy uses integration tests rather than unit tests as the primary quality gate. FastAPI's httpx TestClient creates a real in-process application instance with a dedicated SQLite in-memory database (injected via FastAPI's dependency override mechanism), allowing tests to exercise the full request-to-database stack without requiring a running PostgreSQL instance. This approach tests the actual behaviour of the system rather than mocked interactions.</w:t>
      </w:r>
    </w:p>
    <w:p>
      <w:pPr>
        <w:spacing w:after="120"/>
      </w:pPr>
    </w:p>
    <w:p>
      <w:pPr>
        <w:spacing w:before="220" w:after="120"/>
      </w:pPr>
      <w:r>
        <w:rPr>
          <w:rFonts w:ascii="Arial" w:cs="Arial" w:eastAsia="Arial" w:hAnsi="Arial"/>
          <w:b/>
          <w:bCs/>
          <w:color w:val="2E75B6"/>
          <w:sz w:val="26"/>
          <w:szCs w:val="26"/>
        </w:rPr>
        <w:t xml:space="preserve">7.2 Test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1200"/>
        <w:gridCol w:w="3360"/>
      </w:tblGrid>
      <w:tr>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 file</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Tests</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Passed</w:t>
            </w:r>
          </w:p>
        </w:tc>
        <w:tc>
          <w:tcPr>
            <w:tcW w:type="dxa" w:w="1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Failed</w:t>
            </w:r>
          </w:p>
        </w:tc>
        <w:tc>
          <w:tcPr>
            <w:tcW w:type="dxa" w:w="33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Coverage</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test_expenses.py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12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7</w:t>
            </w:r>
          </w:p>
        </w:tc>
        <w:tc>
          <w:tcPr>
            <w:tcW w:type="dxa" w:w="1200"/>
            <w:tcBorders>
              <w:top w:val="single" w:color="CCCCCC" w:sz="1"/>
              <w:left w:val="single" w:color="CCCCCC" w:sz="1"/>
              <w:bottom w:val="single" w:color="CCCCCC" w:sz="1"/>
              <w:right w:val="single" w:color="CCCCCC" w:sz="1"/>
            </w:tcBorders>
            <w:shd w:fill="275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Create, read all, read by ID, update, delete, invalid amount (422), invalid category (422)</w:t>
            </w:r>
          </w:p>
        </w:tc>
      </w:tr>
      <w:tr>
        <w:tc>
          <w:tcPr>
            <w:tcW w:type="dxa" w:w="2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test_income.py</w:t>
            </w:r>
          </w:p>
        </w:tc>
        <w:tc>
          <w:tcPr>
            <w:tcW w:type="dxa" w:w="12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12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5</w:t>
            </w:r>
          </w:p>
        </w:tc>
        <w:tc>
          <w:tcPr>
            <w:tcW w:type="dxa" w:w="1200"/>
            <w:tcBorders>
              <w:top w:val="single" w:color="CCCCCC" w:sz="1"/>
              <w:left w:val="single" w:color="CCCCCC" w:sz="1"/>
              <w:bottom w:val="single" w:color="CCCCCC" w:sz="1"/>
              <w:right w:val="single" w:color="CCCCCC" w:sz="1"/>
            </w:tcBorders>
            <w:shd w:fill="275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0</w:t>
            </w:r>
          </w:p>
        </w:tc>
        <w:tc>
          <w:tcPr>
            <w:tcW w:type="dxa" w:w="33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Create, read all, read by ID, update, invalid source (422)</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test_budgets.py</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12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3</w:t>
            </w:r>
          </w:p>
        </w:tc>
        <w:tc>
          <w:tcPr>
            <w:tcW w:type="dxa" w:w="1200"/>
            <w:tcBorders>
              <w:top w:val="single" w:color="CCCCCC" w:sz="1"/>
              <w:left w:val="single" w:color="CCCCCC" w:sz="1"/>
              <w:bottom w:val="single" w:color="CCCCCC" w:sz="1"/>
              <w:right w:val="single" w:color="CCCCCC" w:sz="1"/>
            </w:tcBorders>
            <w:shd w:fill="275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Set budget, get status, duplicate budget upsert</w:t>
            </w:r>
          </w:p>
        </w:tc>
      </w:tr>
      <w:tr>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test_insights.py</w:t>
            </w:r>
          </w:p>
        </w:tc>
        <w:tc>
          <w:tcPr>
            <w:tcW w:type="dxa" w:w="12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12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2</w:t>
            </w:r>
          </w:p>
        </w:tc>
        <w:tc>
          <w:tcPr>
            <w:tcW w:type="dxa" w:w="1200"/>
            <w:tcBorders>
              <w:top w:val="single" w:color="CCCCCC" w:sz="1"/>
              <w:left w:val="single" w:color="CCCCCC" w:sz="1"/>
              <w:bottom w:val="single" w:color="CCCCCC" w:sz="1"/>
              <w:right w:val="single" w:color="CCCCCC" w:sz="1"/>
            </w:tcBorders>
            <w:shd w:fill="275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0</w:t>
            </w:r>
          </w:p>
        </w:tc>
        <w:tc>
          <w:tcPr>
            <w:tcW w:type="dxa" w:w="33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Insights returns list, overspend rule triggers on test data</w:t>
            </w:r>
          </w:p>
        </w:tc>
      </w:tr>
      <w:tr>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TOTAL</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0000"/>
                <w:sz w:val="20"/>
                <w:szCs w:val="20"/>
              </w:rPr>
              <w:t xml:space="preserve">17</w:t>
            </w:r>
          </w:p>
        </w:tc>
        <w:tc>
          <w:tcPr>
            <w:tcW w:type="dxa" w:w="12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17 ✓</w:t>
            </w:r>
          </w:p>
        </w:tc>
        <w:tc>
          <w:tcPr>
            <w:tcW w:type="dxa" w:w="1200"/>
            <w:tcBorders>
              <w:top w:val="single" w:color="CCCCCC" w:sz="1"/>
              <w:left w:val="single" w:color="CCCCCC" w:sz="1"/>
              <w:bottom w:val="single" w:color="CCCCCC" w:sz="1"/>
              <w:right w:val="single" w:color="CCCCCC" w:sz="1"/>
            </w:tcBorders>
            <w:shd w:fill="275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0</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tests pass. pytest exit code 0.</w:t>
            </w:r>
          </w:p>
        </w:tc>
      </w:tr>
    </w:tbl>
    <w:p>
      <w:pPr>
        <w:spacing w:after="120"/>
      </w:pPr>
    </w:p>
    <w:p>
      <w:pPr>
        <w:spacing w:before="220" w:after="120"/>
      </w:pPr>
      <w:r>
        <w:rPr>
          <w:rFonts w:ascii="Arial" w:cs="Arial" w:eastAsia="Arial" w:hAnsi="Arial"/>
          <w:b/>
          <w:bCs/>
          <w:color w:val="2E75B6"/>
          <w:sz w:val="26"/>
          <w:szCs w:val="26"/>
        </w:rPr>
        <w:t xml:space="preserve">7.3 Security testing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60"/>
        <w:gridCol w:w="3200"/>
        <w:gridCol w:w="2200"/>
      </w:tblGrid>
      <w:tr>
        <w:tc>
          <w:tcPr>
            <w:tcW w:type="dxa" w:w="39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Security test</w:t>
            </w:r>
          </w:p>
        </w:tc>
        <w:tc>
          <w:tcPr>
            <w:tcW w:type="dxa" w:w="3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Method</w:t>
            </w:r>
          </w:p>
        </w:tc>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Result</w:t>
            </w:r>
          </w:p>
        </w:tc>
      </w:tr>
      <w:tr>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SQL injection via category field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 expense with category="'; DROP TABLE expenses; --"</w:t>
            </w:r>
          </w:p>
        </w:tc>
        <w:tc>
          <w:tcPr>
            <w:tcW w:type="dxa" w:w="22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Stored as literal string</w:t>
            </w:r>
          </w:p>
        </w:tc>
      </w:tr>
      <w:tr>
        <w:tc>
          <w:tcPr>
            <w:tcW w:type="dxa" w:w="39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Negative amount rejection</w:t>
            </w:r>
          </w:p>
        </w:tc>
        <w:tc>
          <w:tcPr>
            <w:tcW w:type="dxa" w:w="3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expense with amount=-100</w:t>
            </w:r>
          </w:p>
        </w:tc>
        <w:tc>
          <w:tcPr>
            <w:tcW w:type="dxa" w:w="2200"/>
            <w:tcBorders>
              <w:top w:val="single" w:color="CCCCCC" w:sz="1"/>
              <w:left w:val="single" w:color="CCCCCC" w:sz="1"/>
              <w:bottom w:val="single" w:color="CCCCCC" w:sz="1"/>
              <w:right w:val="single" w:color="CCCCCC" w:sz="1"/>
            </w:tcBorders>
            <w:shd w:fill="BA751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422 returned</w:t>
            </w:r>
          </w:p>
        </w:tc>
      </w:tr>
      <w:tr>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Future date rejection</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POST expense with date=2099-12-31</w:t>
            </w:r>
          </w:p>
        </w:tc>
        <w:tc>
          <w:tcPr>
            <w:tcW w:type="dxa" w:w="2200"/>
            <w:tcBorders>
              <w:top w:val="single" w:color="CCCCCC" w:sz="1"/>
              <w:left w:val="single" w:color="CCCCCC" w:sz="1"/>
              <w:bottom w:val="single" w:color="CCCCCC" w:sz="1"/>
              <w:right w:val="single" w:color="CCCCCC" w:sz="1"/>
            </w:tcBorders>
            <w:shd w:fill="BA751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422 returned</w:t>
            </w:r>
          </w:p>
        </w:tc>
      </w:tr>
      <w:tr>
        <w:tc>
          <w:tcPr>
            <w:tcW w:type="dxa" w:w="39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Invalid income source</w:t>
            </w:r>
          </w:p>
        </w:tc>
        <w:tc>
          <w:tcPr>
            <w:tcW w:type="dxa" w:w="3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 income with source=InvalidSource</w:t>
            </w:r>
          </w:p>
        </w:tc>
        <w:tc>
          <w:tcPr>
            <w:tcW w:type="dxa" w:w="2200"/>
            <w:tcBorders>
              <w:top w:val="single" w:color="CCCCCC" w:sz="1"/>
              <w:left w:val="single" w:color="CCCCCC" w:sz="1"/>
              <w:bottom w:val="single" w:color="CCCCCC" w:sz="1"/>
              <w:right w:val="single" w:color="CCCCCC" w:sz="1"/>
            </w:tcBorders>
            <w:shd w:fill="BA751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422 returned</w:t>
            </w:r>
          </w:p>
        </w:tc>
      </w:tr>
      <w:tr>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Non-existent 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GET /expenses/99999</w:t>
            </w:r>
          </w:p>
        </w:tc>
        <w:tc>
          <w:tcPr>
            <w:tcW w:type="dxa" w:w="2200"/>
            <w:tcBorders>
              <w:top w:val="single" w:color="CCCCCC" w:sz="1"/>
              <w:left w:val="single" w:color="CCCCCC" w:sz="1"/>
              <w:bottom w:val="single" w:color="CCCCCC" w:sz="1"/>
              <w:right w:val="single" w:color="CCCCCC" w:sz="1"/>
            </w:tcBorders>
            <w:shd w:fill="BA751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404 returned</w:t>
            </w:r>
          </w:p>
        </w:tc>
      </w:tr>
      <w:tr>
        <w:tc>
          <w:tcPr>
            <w:tcW w:type="dxa" w:w="39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CORS origin blocked</w:t>
            </w:r>
          </w:p>
        </w:tc>
        <w:tc>
          <w:tcPr>
            <w:tcW w:type="dxa" w:w="3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curl -H 'Origin: http://evil.com' ...</w:t>
            </w:r>
          </w:p>
        </w:tc>
        <w:tc>
          <w:tcPr>
            <w:tcW w:type="dxa" w:w="2200"/>
            <w:tcBorders>
              <w:top w:val="single" w:color="CCCCCC" w:sz="1"/>
              <w:left w:val="single" w:color="CCCCCC" w:sz="1"/>
              <w:bottom w:val="single" w:color="CCCCCC" w:sz="1"/>
              <w:right w:val="single" w:color="CCCCCC" w:sz="1"/>
            </w:tcBorders>
            <w:shd w:fill="BA751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403 returned</w:t>
            </w:r>
          </w:p>
        </w:tc>
      </w:tr>
      <w:tr>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.env absent from GitHub</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Browse repository file listing</w:t>
            </w:r>
          </w:p>
        </w:tc>
        <w:tc>
          <w:tcPr>
            <w:tcW w:type="dxa" w:w="22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Not present</w:t>
            </w:r>
          </w:p>
        </w:tc>
      </w:tr>
      <w:tr>
        <w:tc>
          <w:tcPr>
            <w:tcW w:type="dxa" w:w="39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pip-audit dependency scan</w:t>
            </w:r>
          </w:p>
        </w:tc>
        <w:tc>
          <w:tcPr>
            <w:tcW w:type="dxa" w:w="32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pip-audit -r requirements.txt</w:t>
            </w:r>
          </w:p>
        </w:tc>
        <w:tc>
          <w:tcPr>
            <w:tcW w:type="dxa" w:w="22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0 CVEs found</w:t>
            </w:r>
          </w:p>
        </w:tc>
      </w:tr>
    </w:tbl>
    <w:p>
      <w:pPr>
        <w:spacing w:after="120"/>
      </w:pPr>
    </w:p>
    <w:p>
      <w:pPr>
        <w:spacing w:before="220" w:after="120"/>
      </w:pPr>
      <w:r>
        <w:rPr>
          <w:rFonts w:ascii="Arial" w:cs="Arial" w:eastAsia="Arial" w:hAnsi="Arial"/>
          <w:b/>
          <w:bCs/>
          <w:color w:val="2E75B6"/>
          <w:sz w:val="26"/>
          <w:szCs w:val="26"/>
        </w:rPr>
        <w:t xml:space="preserve">7.4 Manual testing — Swagger UI</w:t>
      </w:r>
    </w:p>
    <w:p>
      <w:pPr>
        <w:spacing w:after="160"/>
        <w:jc w:val="both"/>
      </w:pPr>
      <w:r>
        <w:rPr>
          <w:rFonts w:ascii="Arial" w:cs="Arial" w:eastAsia="Arial" w:hAnsi="Arial"/>
          <w:sz w:val="22"/>
          <w:szCs w:val="22"/>
        </w:rPr>
        <w:t xml:space="preserve">All 24 API endpoints were manually tested via the FastAPI Swagger UI at http://localhost:8000/docs before final submission. Each endpoint was verified for: correct HTTP status code on success (200/201/204), correct response body shape, correct 422 error detail on invalid input, and correct 404 error on non-existent IDs. Screenshots of Swagger UI were captured as evidence for the IBM submission package.</w:t>
      </w:r>
    </w:p>
    <w:p>
      <w:pPr>
        <w:spacing w:after="120"/>
      </w:pPr>
    </w:p>
    <w:p>
      <w:pPr>
        <w:pBdr>
          <w:bottom w:val="single" w:color="2E75B6" w:sz="6" w:space="1"/>
        </w:pBdr>
        <w:spacing w:before="180" w:after="180"/>
      </w:pPr>
    </w:p>
    <w:p>
      <w:pPr>
        <w:pBdr>
          <w:left w:val="single" w:color="2E75B6" w:sz="20"/>
        </w:pBdr>
        <w:shd w:fill="D6E4F0" w:val="clear"/>
        <w:spacing w:before="300" w:after="160"/>
      </w:pPr>
      <w:r>
        <w:rPr>
          <w:rFonts w:ascii="Arial" w:cs="Arial" w:eastAsia="Arial" w:hAnsi="Arial"/>
          <w:b/>
          <w:bCs/>
          <w:color w:val="1F4E79"/>
          <w:sz w:val="28"/>
          <w:szCs w:val="28"/>
        </w:rPr>
        <w:t xml:space="preserve">  8. Results &amp; Evaluation</w:t>
      </w:r>
    </w:p>
    <w:p>
      <w:pPr>
        <w:spacing w:after="120"/>
      </w:pPr>
    </w:p>
    <w:p>
      <w:pPr>
        <w:spacing w:before="220" w:after="120"/>
      </w:pPr>
      <w:r>
        <w:rPr>
          <w:rFonts w:ascii="Arial" w:cs="Arial" w:eastAsia="Arial" w:hAnsi="Arial"/>
          <w:b/>
          <w:bCs/>
          <w:color w:val="2E75B6"/>
          <w:sz w:val="26"/>
          <w:szCs w:val="26"/>
        </w:rPr>
        <w:t xml:space="preserve">8.1 Objectives achieved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4160"/>
        <w:gridCol w:w="2600"/>
        <w:gridCol w:w="240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Objective</w:t>
            </w:r>
          </w:p>
        </w:tc>
        <w:tc>
          <w:tcPr>
            <w:tcW w:type="dxa" w:w="2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Achieved</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O1</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9 planning documents produced</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9 docs in /docs before coding</w:t>
            </w:r>
          </w:p>
        </w:tc>
        <w:tc>
          <w:tcPr>
            <w:tcW w:type="dxa" w:w="24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Complete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O2</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Expense CRUD API with passing tests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 endpoints, pytest passing</w:t>
            </w:r>
          </w:p>
        </w:tc>
        <w:tc>
          <w:tcPr>
            <w:tcW w:type="dxa" w:w="24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7 tests pass</w:t>
            </w:r>
          </w:p>
        </w:tc>
      </w:tr>
      <w:tr>
        <w:tc>
          <w:tcPr>
            <w:tcW w:type="dxa" w:w="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O3</w:t>
            </w:r>
          </w:p>
        </w:tc>
        <w:tc>
          <w:tcPr>
            <w:tcW w:type="dxa" w:w="4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Income CRUD API with passing tests</w:t>
            </w:r>
          </w:p>
        </w:tc>
        <w:tc>
          <w:tcPr>
            <w:tcW w:type="dxa" w:w="26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5 endpoints, pytest passing</w:t>
            </w:r>
          </w:p>
        </w:tc>
        <w:tc>
          <w:tcPr>
            <w:tcW w:type="dxa" w:w="24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5 tests pass</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O4</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insights engine — 11 rules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rules trigger on test data</w:t>
            </w:r>
          </w:p>
        </w:tc>
        <w:tc>
          <w:tcPr>
            <w:tcW w:type="dxa" w:w="24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11 rules live</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O5</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React dashboard — 9 widgets</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widgets render with live data</w:t>
            </w:r>
          </w:p>
        </w:tc>
        <w:tc>
          <w:tcPr>
            <w:tcW w:type="dxa" w:w="24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All 9 live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O6</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Docker Compose single-command deployment</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docker compose up --build works</w:t>
            </w:r>
          </w:p>
        </w:tc>
        <w:tc>
          <w:tcPr>
            <w:tcW w:type="dxa" w:w="24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Verified</w:t>
            </w:r>
          </w:p>
        </w:tc>
      </w:tr>
      <w:tr>
        <w:tc>
          <w:tcPr>
            <w:tcW w:type="dxa" w:w="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O7</w:t>
            </w:r>
          </w:p>
        </w:tc>
        <w:tc>
          <w:tcPr>
            <w:tcW w:type="dxa" w:w="41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GitHub daily commits + release tags</w:t>
            </w:r>
          </w:p>
        </w:tc>
        <w:tc>
          <w:tcPr>
            <w:tcW w:type="dxa" w:w="2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Daily commits, v0.1–v1.0 tags</w:t>
            </w:r>
          </w:p>
        </w:tc>
        <w:tc>
          <w:tcPr>
            <w:tcW w:type="dxa" w:w="24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v1.0 tagged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O8</w:t>
            </w:r>
          </w:p>
        </w:tc>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pytest suite ≥ 15 tests, 0 failures</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15+ tests, 0 failures</w:t>
            </w:r>
          </w:p>
        </w:tc>
        <w:tc>
          <w:tcPr>
            <w:tcW w:type="dxa" w:w="24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17 pass</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O9</w:t>
            </w:r>
          </w:p>
        </w:tc>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Final report and handover document</w:t>
            </w:r>
          </w:p>
        </w:tc>
        <w:tc>
          <w:tcPr>
            <w:tcW w:type="dxa" w:w="2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Both documents complete</w:t>
            </w:r>
          </w:p>
        </w:tc>
        <w:tc>
          <w:tcPr>
            <w:tcW w:type="dxa" w:w="24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Complete</w:t>
            </w:r>
          </w:p>
        </w:tc>
      </w:tr>
    </w:tbl>
    <w:p>
      <w:pPr>
        <w:spacing w:after="120"/>
      </w:pPr>
    </w:p>
    <w:p>
      <w:pPr>
        <w:spacing w:before="220" w:after="120"/>
      </w:pPr>
      <w:r>
        <w:rPr>
          <w:rFonts w:ascii="Arial" w:cs="Arial" w:eastAsia="Arial" w:hAnsi="Arial"/>
          <w:b/>
          <w:bCs/>
          <w:color w:val="2E75B6"/>
          <w:sz w:val="26"/>
          <w:szCs w:val="26"/>
        </w:rPr>
        <w:t xml:space="preserve">8.2 Requirements fulfilment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4760"/>
        <w:gridCol w:w="600"/>
      </w:tblGrid>
      <w:tr>
        <w:tc>
          <w:tcPr>
            <w:tcW w:type="dxa" w:w="1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Priority</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Count</w:t>
            </w:r>
          </w:p>
        </w:tc>
        <w:tc>
          <w:tcPr>
            <w:tcW w:type="dxa" w:w="47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Features</w:t>
            </w:r>
          </w:p>
        </w:tc>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r>
      <w:tr>
        <w:tc>
          <w:tcPr>
            <w:tcW w:type="dxa" w:w="16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Must Have</w:t>
            </w:r>
          </w:p>
        </w:tc>
        <w:tc>
          <w:tcPr>
            <w:tcW w:type="dxa" w:w="2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10 requirements</w:t>
            </w:r>
          </w:p>
        </w:tc>
        <w:tc>
          <w:tcPr>
            <w:tcW w:type="dxa" w:w="47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All 10 Must Have features implemented and demonstrable</w:t>
            </w:r>
          </w:p>
        </w:tc>
        <w:tc>
          <w:tcPr>
            <w:tcW w:type="dxa" w:w="6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100%</w:t>
            </w:r>
          </w:p>
        </w:tc>
      </w:tr>
      <w:tr>
        <w:tc>
          <w:tcPr>
            <w:tcW w:type="dxa" w:w="1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Should Have</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2 requirements</w:t>
            </w:r>
          </w:p>
        </w:tc>
        <w:tc>
          <w:tcPr>
            <w:tcW w:type="dxa" w:w="4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CSV export and filtering both implemented</w:t>
            </w:r>
          </w:p>
        </w:tc>
        <w:tc>
          <w:tcPr>
            <w:tcW w:type="dxa" w:w="6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100%</w:t>
            </w:r>
          </w:p>
        </w:tc>
      </w:tr>
      <w:tr>
        <w:tc>
          <w:tcPr>
            <w:tcW w:type="dxa" w:w="16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Out of scope</w:t>
            </w:r>
          </w:p>
        </w:tc>
        <w:tc>
          <w:tcPr>
            <w:tcW w:type="dxa" w:w="2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6 items</w:t>
            </w:r>
          </w:p>
        </w:tc>
        <w:tc>
          <w:tcPr>
            <w:tcW w:type="dxa" w:w="47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 mobile app, cloud deploy, bank integration, ML, notifications</w:t>
            </w:r>
          </w:p>
        </w:tc>
        <w:tc>
          <w:tcPr>
            <w:tcW w:type="dxa" w:w="600"/>
            <w:tcBorders>
              <w:top w:val="single" w:color="CCCCCC" w:sz="1"/>
              <w:left w:val="single" w:color="CCCCCC" w:sz="1"/>
              <w:bottom w:val="single" w:color="CCCCCC" w:sz="1"/>
              <w:right w:val="single" w:color="CCCCCC" w:sz="1"/>
            </w:tcBorders>
            <w:shd w:fill="BA751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w:t>
            </w:r>
          </w:p>
        </w:tc>
      </w:tr>
    </w:tbl>
    <w:p>
      <w:pPr>
        <w:spacing w:after="120"/>
      </w:pPr>
    </w:p>
    <w:p>
      <w:pPr>
        <w:spacing w:before="220" w:after="120"/>
      </w:pPr>
      <w:r>
        <w:rPr>
          <w:rFonts w:ascii="Arial" w:cs="Arial" w:eastAsia="Arial" w:hAnsi="Arial"/>
          <w:b/>
          <w:bCs/>
          <w:color w:val="2E75B6"/>
          <w:sz w:val="26"/>
          <w:szCs w:val="26"/>
        </w:rPr>
        <w:t xml:space="preserve">8.3 Success criteria evaluation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160"/>
        <w:gridCol w:w="2400"/>
        <w:gridCol w:w="2800"/>
      </w:tblGrid>
      <w:tr>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Criterion</w:t>
            </w:r>
          </w:p>
        </w:tc>
        <w:tc>
          <w:tcPr>
            <w:tcW w:type="dxa" w:w="2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Target</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Actual result</w:t>
            </w:r>
          </w:p>
        </w:tc>
      </w:tr>
      <w:tr>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All Must Have features demonstrable</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100%</w:t>
            </w:r>
          </w:p>
        </w:tc>
        <w:tc>
          <w:tcPr>
            <w:tcW w:type="dxa" w:w="28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100% — all live</w:t>
            </w:r>
          </w:p>
        </w:tc>
      </w:tr>
      <w:tr>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Docker Compose single-command startup</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Pass</w:t>
            </w:r>
          </w:p>
        </w:tc>
        <w:tc>
          <w:tcPr>
            <w:tcW w:type="dxa" w:w="28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Pass — verified</w:t>
            </w:r>
          </w:p>
        </w:tc>
      </w:tr>
      <w:tr>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Dashboard widgets render with live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9/9</w:t>
            </w:r>
          </w:p>
        </w:tc>
        <w:tc>
          <w:tcPr>
            <w:tcW w:type="dxa" w:w="28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9/9 confirmed</w:t>
            </w:r>
          </w:p>
        </w:tc>
      </w:tr>
      <w:tr>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pytest passes with zero failures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0 failures</w:t>
            </w:r>
          </w:p>
        </w:tc>
        <w:tc>
          <w:tcPr>
            <w:tcW w:type="dxa" w:w="28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0 failures — 17 pass</w:t>
            </w:r>
          </w:p>
        </w:tc>
      </w:tr>
      <w:tr>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GitHub daily commits from 9 March 2026</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Daily</w:t>
            </w:r>
          </w:p>
        </w:tc>
        <w:tc>
          <w:tcPr>
            <w:tcW w:type="dxa" w:w="28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 Continuous</w:t>
            </w:r>
          </w:p>
        </w:tc>
      </w:tr>
      <w:tr>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9 planning documents in /docs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9 docs</w:t>
            </w:r>
          </w:p>
        </w:tc>
        <w:tc>
          <w:tcPr>
            <w:tcW w:type="dxa" w:w="28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9 docs committed</w:t>
            </w:r>
          </w:p>
        </w:tc>
      </w:tr>
      <w:tr>
        <w:tc>
          <w:tcPr>
            <w:tcW w:type="dxa" w:w="4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AI insights return on test data</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 3 insights</w:t>
            </w:r>
          </w:p>
        </w:tc>
        <w:tc>
          <w:tcPr>
            <w:tcW w:type="dxa" w:w="28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11 rules active</w:t>
            </w:r>
          </w:p>
        </w:tc>
      </w:tr>
      <w:tr>
        <w:tc>
          <w:tcPr>
            <w:tcW w:type="dxa" w:w="4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pip-audit: 0 CVEs</w:t>
            </w:r>
          </w:p>
        </w:tc>
        <w:tc>
          <w:tcPr>
            <w:tcW w:type="dxa" w:w="2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0 CVEs</w:t>
            </w:r>
          </w:p>
        </w:tc>
        <w:tc>
          <w:tcPr>
            <w:tcW w:type="dxa" w:w="2800"/>
            <w:tcBorders>
              <w:top w:val="single" w:color="CCCCCC" w:sz="1"/>
              <w:left w:val="single" w:color="CCCCCC" w:sz="1"/>
              <w:bottom w:val="single" w:color="CCCCCC" w:sz="1"/>
              <w:right w:val="single" w:color="CCCCCC" w:sz="1"/>
            </w:tcBorders>
            <w:shd w:fill="639922"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0 CVEs found</w:t>
            </w:r>
          </w:p>
        </w:tc>
      </w:tr>
    </w:tbl>
    <w:p>
      <w:pPr>
        <w:spacing w:after="120"/>
      </w:pPr>
    </w:p>
    <w:p>
      <w:pPr>
        <w:pBdr>
          <w:bottom w:val="single" w:color="2E75B6" w:sz="6" w:space="1"/>
        </w:pBdr>
        <w:spacing w:before="180" w:after="180"/>
      </w:pPr>
    </w:p>
    <w:p>
      <w:pPr>
        <w:pBdr>
          <w:left w:val="single" w:color="2E75B6" w:sz="20"/>
        </w:pBdr>
        <w:shd w:fill="D6E4F0" w:val="clear"/>
        <w:spacing w:before="300" w:after="160"/>
      </w:pPr>
      <w:r>
        <w:rPr>
          <w:rFonts w:ascii="Arial" w:cs="Arial" w:eastAsia="Arial" w:hAnsi="Arial"/>
          <w:b/>
          <w:bCs/>
          <w:color w:val="1F4E79"/>
          <w:sz w:val="28"/>
          <w:szCs w:val="28"/>
        </w:rPr>
        <w:t xml:space="preserve">  9. Challenges &amp; Solutions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Challenge</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What happened</w:t>
            </w:r>
          </w:p>
        </w:tc>
        <w:tc>
          <w:tcPr>
            <w:tcW w:type="dxa" w:w="32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Solution applied</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SQLModel session management</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Early implementation had sessions not closing properly, causing connection pool exhaustion after repeated test runs.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Switched to context manager pattern (with Session(engine) as db: yield db) in get_db(). Sessions now guaranteed to close after each request.</w:t>
            </w:r>
          </w:p>
        </w:tc>
      </w:tr>
      <w:tr>
        <w:tc>
          <w:tcPr>
            <w:tcW w:type="dxa" w:w="2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Income module design</w:t>
            </w:r>
          </w:p>
        </w:tc>
        <w:tc>
          <w:tcPr>
            <w:tcW w:type="dxa" w:w="32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 plan was to add a type flag to the expenses table. Midway through schema design it became clear this would create nullable fields and messy queries.</w:t>
            </w:r>
          </w:p>
        </w:tc>
        <w:tc>
          <w:tcPr>
            <w:tcW w:type="dxa" w:w="328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Documented as ADR-003. Created a separate income table with its own model, service, router, and tests. Cleaner queries, no nulls.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Docker container startup order</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Backend container started before PostgreSQL was ready to accept connections, causing startup errors on cold docker compose up.</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Added health check to db service (pg_isready every 5s) and condition: service_healthy to backend depends_on. Backend now waits for DB readiness.</w:t>
            </w:r>
          </w:p>
        </w:tc>
      </w:tr>
      <w:tr>
        <w:tc>
          <w:tcPr>
            <w:tcW w:type="dxa" w:w="2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Pydantic v2 migration differences</w:t>
            </w:r>
          </w:p>
        </w:tc>
        <w:tc>
          <w:tcPr>
            <w:tcW w:type="dxa" w:w="328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Several Pydantic v1 patterns (validator decorator, orm_mode=True) caused errors when using Pydantic v2.</w:t>
            </w:r>
          </w:p>
        </w:tc>
        <w:tc>
          <w:tcPr>
            <w:tcW w:type="dxa" w:w="328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Updated all validators to @field_validator with @classmethod. Replaced orm_mode=True with model_config = ConfigDict(from_attributes=True).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React date handling across timezones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Expense dates stored as DATE in PostgreSQL were coming back as UTC timestamps, shifting the displayed date by one day in some timezones.</w:t>
            </w:r>
          </w:p>
        </w:tc>
        <w:tc>
          <w:tcPr>
            <w:tcW w:type="dxa" w:w="32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Changed frontend date parsing to treat API date strings as local dates (new Date(date + 'T00:00:00')) rather than UTC. Consistent display across timezones.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Budget status query N+1</w:t>
            </w:r>
          </w:p>
        </w:tc>
        <w:tc>
          <w:tcPr>
            <w:tcW w:type="dxa" w:w="3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Initial implementation ran one expense sum query per category, causing N+1 query problem for budget status endpoint.</w:t>
            </w:r>
          </w:p>
        </w:tc>
        <w:tc>
          <w:tcPr>
            <w:tcW w:type="dxa" w:w="32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Rewrote as a single LEFT JOIN query with GROUP BY. Budget status now runs one DB query regardless of category count.</w:t>
            </w:r>
          </w:p>
        </w:tc>
      </w:tr>
    </w:tbl>
    <w:p>
      <w:pPr>
        <w:spacing w:after="120"/>
      </w:pPr>
    </w:p>
    <w:p>
      <w:pPr>
        <w:pBdr>
          <w:bottom w:val="single" w:color="2E75B6" w:sz="6" w:space="1"/>
        </w:pBdr>
        <w:spacing w:before="180" w:after="180"/>
      </w:pPr>
    </w:p>
    <w:p>
      <w:pPr>
        <w:pBdr>
          <w:left w:val="single" w:color="2E75B6" w:sz="20"/>
        </w:pBdr>
        <w:shd w:fill="D6E4F0" w:val="clear"/>
        <w:spacing w:before="300" w:after="160"/>
      </w:pPr>
      <w:r>
        <w:rPr>
          <w:rFonts w:ascii="Arial" w:cs="Arial" w:eastAsia="Arial" w:hAnsi="Arial"/>
          <w:b/>
          <w:bCs/>
          <w:color w:val="1F4E79"/>
          <w:sz w:val="28"/>
          <w:szCs w:val="28"/>
        </w:rPr>
        <w:t xml:space="preserve">  10. Future Work — v2 Roadmap</w:t>
      </w:r>
    </w:p>
    <w:p>
      <w:pPr>
        <w:spacing w:after="120"/>
      </w:pPr>
    </w:p>
    <w:p>
      <w:pPr>
        <w:spacing w:after="160"/>
        <w:jc w:val="both"/>
      </w:pPr>
      <w:r>
        <w:rPr>
          <w:rFonts w:ascii="Arial" w:cs="Arial" w:eastAsia="Arial" w:hAnsi="Arial"/>
          <w:sz w:val="22"/>
          <w:szCs w:val="22"/>
        </w:rPr>
        <w:t xml:space="preserve">The v1.0 application satisfies all IBM submission requirements and delivers genuine utility as a personal finance tracker. The following features are planned for v2.0, ordered by impact: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800"/>
        <w:gridCol w:w="3160"/>
        <w:gridCol w:w="2800"/>
        <w:gridCol w:w="400"/>
      </w:tblGrid>
      <w:tr>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Feature</w:t>
            </w:r>
          </w:p>
        </w:tc>
        <w:tc>
          <w:tcPr>
            <w:tcW w:type="dxa" w:w="3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Architecture impact</w:t>
            </w:r>
          </w:p>
        </w:tc>
        <w:tc>
          <w:tcPr>
            <w:tcW w:type="dxa" w:w="4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Pri</w:t>
            </w:r>
          </w:p>
        </w:tc>
      </w:tr>
      <w:tr>
        <w:tc>
          <w:tcPr>
            <w:tcW w:type="dxa" w:w="4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1</w:t>
            </w:r>
          </w:p>
        </w:tc>
        <w:tc>
          <w:tcPr>
            <w:tcW w:type="dxa" w:w="2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User authentication (JWT)</w:t>
            </w:r>
          </w:p>
        </w:tc>
        <w:tc>
          <w:tcPr>
            <w:tcW w:type="dxa" w:w="316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Login/logout with JWT tokens. Supports multiple user accounts.</w:t>
            </w:r>
          </w:p>
        </w:tc>
        <w:tc>
          <w:tcPr>
            <w:tcW w:type="dxa" w:w="280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Auth middleware added to FastAPI. No schema changes needed — architecture was designed for this.</w:t>
            </w:r>
          </w:p>
        </w:tc>
        <w:tc>
          <w:tcPr>
            <w:tcW w:type="dxa" w:w="400"/>
            <w:tcBorders>
              <w:top w:val="single" w:color="CCCCCC" w:sz="1"/>
              <w:left w:val="single" w:color="CCCCCC" w:sz="1"/>
              <w:bottom w:val="single" w:color="CCCCCC" w:sz="1"/>
              <w:right w:val="single" w:color="CCCCCC" w:sz="1"/>
            </w:tcBorders>
            <w:shd w:fill="275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Recurring transactions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Mark expenses/income as recurring. Auto-generate records on schedule.</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 recurring_rules table. Background task scheduler (APScheduler).</w:t>
            </w:r>
          </w:p>
        </w:tc>
        <w:tc>
          <w:tcPr>
            <w:tcW w:type="dxa" w:w="400"/>
            <w:tcBorders>
              <w:top w:val="single" w:color="CCCCCC" w:sz="1"/>
              <w:left w:val="single" w:color="CCCCCC" w:sz="1"/>
              <w:bottom w:val="single" w:color="CCCCCC" w:sz="1"/>
              <w:right w:val="single" w:color="CCCCCC" w:sz="1"/>
            </w:tcBorders>
            <w:shd w:fill="27500A"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P1</w:t>
            </w:r>
          </w:p>
        </w:tc>
      </w:tr>
      <w:tr>
        <w:tc>
          <w:tcPr>
            <w:tcW w:type="dxa" w:w="4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Mobile-responsive UI</w:t>
            </w:r>
          </w:p>
        </w:tc>
        <w:tc>
          <w:tcPr>
            <w:tcW w:type="dxa" w:w="31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Full mobile responsiveness below 768px. Progressive Web App (PWA) manifest.</w:t>
            </w:r>
          </w:p>
        </w:tc>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CSS media queries and flex/grid refactor. No backend changes.</w:t>
            </w:r>
          </w:p>
        </w:tc>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Cloud deployment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Deploy to a VPS (Hetzner/DigitalOcean) with HTTPS via Caddy reverse proxy.</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Add Caddy to Docker Compose. SSL certificates via Let's Encrypt.</w:t>
            </w:r>
          </w:p>
        </w:tc>
        <w:tc>
          <w:tcPr>
            <w:tcW w:type="dxa" w:w="400"/>
            <w:tcBorders>
              <w:top w:val="single" w:color="CCCCCC" w:sz="1"/>
              <w:left w:val="single" w:color="CCCCCC" w:sz="1"/>
              <w:bottom w:val="single" w:color="CCCCCC" w:sz="1"/>
              <w:right w:val="single" w:color="CCCCCC" w:sz="1"/>
            </w:tcBorders>
            <w:shd w:fill="2E75B6"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P2</w:t>
            </w:r>
          </w:p>
        </w:tc>
      </w:tr>
      <w:tr>
        <w:tc>
          <w:tcPr>
            <w:tcW w:type="dxa" w:w="4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2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LLM-powered insights</w:t>
            </w:r>
          </w:p>
        </w:tc>
        <w:tc>
          <w:tcPr>
            <w:tcW w:type="dxa" w:w="316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Replace/augment rule engine with an LLM API for natural language financial advice.</w:t>
            </w:r>
          </w:p>
        </w:tc>
        <w:tc>
          <w:tcPr>
            <w:tcW w:type="dxa" w:w="280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New LLM service module. Rule engine remains as fallback.</w:t>
            </w:r>
          </w:p>
        </w:tc>
        <w:tc>
          <w:tcPr>
            <w:tcW w:type="dxa" w:w="400"/>
            <w:tcBorders>
              <w:top w:val="single" w:color="CCCCCC" w:sz="1"/>
              <w:left w:val="single" w:color="CCCCCC" w:sz="1"/>
              <w:bottom w:val="single" w:color="CCCCCC" w:sz="1"/>
              <w:right w:val="single" w:color="CCCCCC" w:sz="1"/>
            </w:tcBorders>
            <w:shd w:fill="BA751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P3</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Bank statement import</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CSV import from bank statements (auto-detect format, category suggestion).</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New import service. Category ML classifier on import.</w:t>
            </w:r>
          </w:p>
        </w:tc>
        <w:tc>
          <w:tcPr>
            <w:tcW w:type="dxa" w:w="400"/>
            <w:tcBorders>
              <w:top w:val="single" w:color="CCCCCC" w:sz="1"/>
              <w:left w:val="single" w:color="CCCCCC" w:sz="1"/>
              <w:bottom w:val="single" w:color="CCCCCC" w:sz="1"/>
              <w:right w:val="single" w:color="CCCCCC" w:sz="1"/>
            </w:tcBorders>
            <w:shd w:fill="BA7517"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P3</w:t>
            </w:r>
          </w:p>
        </w:tc>
      </w:tr>
    </w:tbl>
    <w:p>
      <w:pPr>
        <w:spacing w:after="120"/>
      </w:pPr>
    </w:p>
    <w:p>
      <w:pPr>
        <w:pBdr>
          <w:bottom w:val="single" w:color="2E75B6" w:sz="6" w:space="1"/>
        </w:pBdr>
        <w:spacing w:before="180" w:after="180"/>
      </w:pPr>
    </w:p>
    <w:p>
      <w:pPr>
        <w:pBdr>
          <w:left w:val="single" w:color="2E75B6" w:sz="20"/>
        </w:pBdr>
        <w:shd w:fill="D6E4F0" w:val="clear"/>
        <w:spacing w:before="300" w:after="160"/>
      </w:pPr>
      <w:r>
        <w:rPr>
          <w:rFonts w:ascii="Arial" w:cs="Arial" w:eastAsia="Arial" w:hAnsi="Arial"/>
          <w:b/>
          <w:bCs/>
          <w:color w:val="1F4E79"/>
          <w:sz w:val="28"/>
          <w:szCs w:val="28"/>
        </w:rPr>
        <w:t xml:space="preserve">  11. Conclusion</w:t>
      </w:r>
    </w:p>
    <w:p>
      <w:pPr>
        <w:spacing w:after="120"/>
      </w:pPr>
    </w:p>
    <w:p>
      <w:pPr>
        <w:spacing w:after="160"/>
        <w:jc w:val="both"/>
      </w:pPr>
      <w:r>
        <w:rPr>
          <w:rFonts w:ascii="Arial" w:cs="Arial" w:eastAsia="Arial" w:hAnsi="Arial"/>
          <w:sz w:val="22"/>
          <w:szCs w:val="22"/>
        </w:rPr>
        <w:t xml:space="preserve">This project has delivered a production-quality, fully documented full-stack personal finance management application within the 32-day timeline. All nine Must Have and Should Have requirements from the PRD have been implemented. All seventeen pytest test cases pass. The application deploys with a single command via Docker Compose and is maintained in a GitHub repository with a complete, auditable commit history from 9 March 2026.</w:t>
      </w:r>
    </w:p>
    <w:p>
      <w:pPr>
        <w:spacing w:after="80"/>
      </w:pPr>
    </w:p>
    <w:p>
      <w:pPr>
        <w:spacing w:after="160"/>
        <w:jc w:val="both"/>
      </w:pPr>
      <w:r>
        <w:rPr>
          <w:rFonts w:ascii="Arial" w:cs="Arial" w:eastAsia="Arial" w:hAnsi="Arial"/>
          <w:sz w:val="22"/>
          <w:szCs w:val="22"/>
        </w:rPr>
        <w:t xml:space="preserve">The income tracking feature added in v2.0 represents the most significant enhancement over the original prototype. By treating income as a first-class data entity with its own module, analytics, and insight rules, the application delivers genuine financial intelligence rather than just an expense ledger. The net balance and savings rate calculations — driven by the income data — are the features that most directly serve the user's actual financial wellbeing.</w:t>
      </w:r>
    </w:p>
    <w:p>
      <w:pPr>
        <w:spacing w:after="80"/>
      </w:pPr>
    </w:p>
    <w:p>
      <w:pPr>
        <w:spacing w:after="160"/>
        <w:jc w:val="both"/>
      </w:pPr>
      <w:r>
        <w:rPr>
          <w:rFonts w:ascii="Arial" w:cs="Arial" w:eastAsia="Arial" w:hAnsi="Arial"/>
          <w:sz w:val="22"/>
          <w:szCs w:val="22"/>
        </w:rPr>
        <w:t xml:space="preserve">The documentation-first methodology proved its value throughout the project. Having all design decisions made and documented before coding began meant that implementation proceeded without structural uncertainty. When challenges arose — the SQLModel session issue, the Docker startup order problem, the Pydantic v2 migration — they were resolved quickly because the desired architecture was already clearly defined. There was no ambiguity about what the correct solution should look like.</w:t>
      </w:r>
    </w:p>
    <w:p>
      <w:pPr>
        <w:spacing w:after="80"/>
      </w:pPr>
    </w:p>
    <w:p>
      <w:pPr>
        <w:spacing w:after="160"/>
        <w:jc w:val="both"/>
      </w:pPr>
      <w:r>
        <w:rPr>
          <w:rFonts w:ascii="Arial" w:cs="Arial" w:eastAsia="Arial" w:hAnsi="Arial"/>
          <w:sz w:val="22"/>
          <w:szCs w:val="22"/>
        </w:rPr>
        <w:t xml:space="preserve">From a personal learning perspective, this project provided meaningful experience across a breadth of computer science disciplines that no single course covers simultaneously: API design (FastAPI, REST, OpenAPI), database engineering (PostgreSQL, normalisation, indexing), frontend development (React, Recharts, Vite), security engineering (OWASP, STRIDE, Pydantic validation), DevOps (Docker, Compose, health checks), version control practice (Git branching, Sourcetree, conventional commits), and applied AI (rule-based insight engine). The result is a project that demonstrates professional engineering competency across the full stack.</w:t>
      </w:r>
    </w:p>
    <w:p>
      <w:pPr>
        <w:spacing w:after="80"/>
      </w:pPr>
    </w:p>
    <w:p>
      <w:pPr>
        <w:spacing w:after="160"/>
        <w:jc w:val="both"/>
      </w:pPr>
      <w:r>
        <w:rPr>
          <w:rFonts w:ascii="Arial" w:cs="Arial" w:eastAsia="Arial" w:hAnsi="Arial"/>
          <w:sz w:val="22"/>
          <w:szCs w:val="22"/>
        </w:rPr>
        <w:t xml:space="preserve">This submission is presented with confidence that it meets the technical, academic, and documentation standards of the IBM Student Project programme.</w:t>
      </w:r>
    </w:p>
    <w:p>
      <w:pPr>
        <w:spacing w:after="120"/>
      </w:pPr>
    </w:p>
    <w:p>
      <w:pPr>
        <w:pBdr>
          <w:bottom w:val="single" w:color="2E75B6" w:sz="6" w:space="1"/>
        </w:pBdr>
        <w:spacing w:before="180" w:after="180"/>
      </w:pPr>
    </w:p>
    <w:p>
      <w:pPr>
        <w:pBdr>
          <w:left w:val="single" w:color="2E75B6" w:sz="20"/>
        </w:pBdr>
        <w:shd w:fill="D6E4F0" w:val="clear"/>
        <w:spacing w:before="300" w:after="160"/>
      </w:pPr>
      <w:r>
        <w:rPr>
          <w:rFonts w:ascii="Arial" w:cs="Arial" w:eastAsia="Arial" w:hAnsi="Arial"/>
          <w:b/>
          <w:bCs/>
          <w:color w:val="1F4E79"/>
          <w:sz w:val="28"/>
          <w:szCs w:val="28"/>
        </w:rPr>
        <w:t xml:space="preserve">  12. References</w:t>
      </w:r>
    </w:p>
    <w:p>
      <w:pPr>
        <w:spacing w:after="120"/>
      </w:pPr>
    </w:p>
    <w:p>
      <w:pPr>
        <w:pBdr>
          <w:left w:val="single" w:color="2E75B6" w:sz="16"/>
        </w:pBdr>
        <w:shd w:fill="D6E4F0" w:val="clear"/>
        <w:spacing w:before="100" w:after="100"/>
      </w:pPr>
      <w:r>
        <w:rPr>
          <w:rFonts w:ascii="Arial" w:cs="Arial" w:eastAsia="Arial" w:hAnsi="Arial"/>
          <w:color w:val="1F4E79"/>
          <w:sz w:val="22"/>
          <w:szCs w:val="22"/>
        </w:rPr>
        <w:t xml:space="preserve">  The full References document is provided as a separate deliverable (References.docx) with complete citations in IEEE format. Key references are listed below.</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[1]</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Tversky, A. &amp; Kahneman, D. (1981). The framing of decisions and the psychology of choice. Science, 211(4481), 453–458.</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[2]</w:t>
            </w:r>
          </w:p>
        </w:tc>
        <w:tc>
          <w:tcPr>
            <w:tcW w:type="dxa" w:w="8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Kuchler, T. &amp; Zafar, B. (2019). Personal experiences and expectations about aggregate outcomes. Journal of Finance, 74(5), 2491–2542.</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[3]</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Ramírez, S. (2023). FastAPI Documentation. Tiangolo. https://fastapi.tiangolo.com</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[4]</w:t>
            </w:r>
          </w:p>
        </w:tc>
        <w:tc>
          <w:tcPr>
            <w:tcW w:type="dxa" w:w="8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PostgreSQL Global Development Group. (2023). PostgreSQL 15 Documentation. https://www.postgresql.org/docs/15/</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[5]</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Merkel, D. (2014). Docker: Lightweight Linux containers for consistent development and deployment. Linux Journal, 2014(239), 2.</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[6]</w:t>
            </w:r>
          </w:p>
        </w:tc>
        <w:tc>
          <w:tcPr>
            <w:tcW w:type="dxa" w:w="8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OWASP Foundation. (2021). OWASP Top Ten 2021. https://owasp.org/Top10/</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[7]</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Pydantic. (2024). Pydantic v2 Documentation. https://docs.pydantic.dev/latest/</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[8]</w:t>
            </w:r>
          </w:p>
        </w:tc>
        <w:tc>
          <w:tcPr>
            <w:tcW w:type="dxa" w:w="8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Facebook Inc. (2023). React 18 Documentation. https://react.dev</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[9]</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Recharts. (2023). Recharts Documentation. https://recharts.org/en-US/</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[10]</w:t>
            </w:r>
          </w:p>
        </w:tc>
        <w:tc>
          <w:tcPr>
            <w:tcW w:type="dxa" w:w="8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Wiggins, A. (2017). The Twelve-Factor App. https://12factor.net</w:t>
            </w:r>
          </w:p>
        </w:tc>
      </w:tr>
      <w:tr>
        <w:tc>
          <w:tcPr>
            <w:tcW w:type="dxa" w:w="6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[11]</w:t>
            </w:r>
          </w:p>
        </w:tc>
        <w:tc>
          <w:tcPr>
            <w:tcW w:type="dxa" w:w="8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Martin, R.C. (2017). Clean Architecture: A Craftsman's Guide to Software Structure and Design. Prentice Hall.</w:t>
            </w:r>
          </w:p>
        </w:tc>
      </w:tr>
      <w:tr>
        <w:tc>
          <w:tcPr>
            <w:tcW w:type="dxa" w:w="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[12]</w:t>
            </w:r>
          </w:p>
        </w:tc>
        <w:tc>
          <w:tcPr>
            <w:tcW w:type="dxa" w:w="876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val="false"/>
                <w:bCs w:val="false"/>
                <w:color w:val="000000"/>
                <w:sz w:val="20"/>
                <w:szCs w:val="20"/>
              </w:rPr>
              <w:t xml:space="preserve">Shostack, A. (2014). Threat Modeling: Designing for Security. Wiley.</w:t>
            </w:r>
          </w:p>
        </w:tc>
      </w:tr>
    </w:tbl>
    <w:p>
      <w:pPr>
        <w:spacing w:after="120"/>
      </w:pPr>
    </w:p>
    <w:p>
      <w:pPr>
        <w:pBdr>
          <w:bottom w:val="single" w:color="2E75B6" w:sz="6" w:space="1"/>
        </w:pBdr>
        <w:spacing w:before="180" w:after="180"/>
      </w:pPr>
    </w:p>
    <w:p>
      <w:pPr>
        <w:pBdr>
          <w:left w:val="single" w:color="2E75B6" w:sz="20"/>
        </w:pBdr>
        <w:shd w:fill="D6E4F0" w:val="clear"/>
        <w:spacing w:before="300" w:after="160"/>
      </w:pPr>
      <w:r>
        <w:rPr>
          <w:rFonts w:ascii="Arial" w:cs="Arial" w:eastAsia="Arial" w:hAnsi="Arial"/>
          <w:b/>
          <w:bCs/>
          <w:color w:val="1F4E79"/>
          <w:sz w:val="28"/>
          <w:szCs w:val="28"/>
        </w:rPr>
        <w:t xml:space="preserve">  13. Declaration &amp; Sign-Off</w:t>
      </w:r>
    </w:p>
    <w:p>
      <w:pPr>
        <w:spacing w:after="120"/>
      </w:pPr>
    </w:p>
    <w:p>
      <w:pPr>
        <w:pBdr>
          <w:left w:val="single" w:color="2E75B6" w:sz="14"/>
        </w:pBdr>
        <w:shd w:fill="F8FBFF" w:val="clear"/>
        <w:spacing w:before="120" w:after="120"/>
        <w:ind w:left="720" w:right="720"/>
      </w:pPr>
      <w:r>
        <w:rPr>
          <w:rFonts w:ascii="Arial" w:cs="Arial" w:eastAsia="Arial" w:hAnsi="Arial"/>
          <w:i/>
          <w:iCs/>
          <w:color w:val="1F4E79"/>
          <w:sz w:val="22"/>
          <w:szCs w:val="22"/>
        </w:rPr>
        <w:t xml:space="preserve">I declare that this report is my own work, that all sources have been acknowledged, and that the project described herein was developed by me over the period 9 March to 10 April 2026 as part of the IBM Student Project submission at Yenepoya University. The GitHub repository referenced in this report contains the complete development history as evidence of independent work.</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Role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Name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Date</w:t>
            </w:r>
          </w:p>
        </w:tc>
        <w:tc>
          <w:tcPr>
            <w:tcW w:type="dxa" w:w="234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Status</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Student / Author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Sayu-V</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April 2026</w:t>
            </w:r>
          </w:p>
        </w:tc>
        <w:tc>
          <w:tcPr>
            <w:tcW w:type="dxa" w:w="2340"/>
            <w:tcBorders>
              <w:top w:val="single" w:color="CCCCCC" w:sz="1"/>
              <w:left w:val="single" w:color="CCCCCC" w:sz="1"/>
              <w:bottom w:val="single" w:color="CCCCCC" w:sz="1"/>
              <w:right w:val="single" w:color="CCCCCC" w:sz="1"/>
            </w:tcBorders>
            <w:shd w:fill="EAF3DE" w:val="clear"/>
            <w:tcMar>
              <w:top w:type="dxa" w:w="80"/>
              <w:left w:type="dxa" w:w="120"/>
              <w:bottom w:type="dxa" w:w="80"/>
              <w:right w:type="dxa" w:w="120"/>
            </w:tcMar>
          </w:tcPr>
          <w:p>
            <w:r>
              <w:rPr>
                <w:rFonts w:ascii="Arial" w:cs="Arial" w:eastAsia="Arial" w:hAnsi="Arial"/>
                <w:b w:val="false"/>
                <w:bCs w:val="false"/>
                <w:color w:val="000000"/>
                <w:sz w:val="20"/>
                <w:szCs w:val="20"/>
              </w:rPr>
              <w:t xml:space="preserve">✅ Submitted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University Supervisor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Yenepoya University</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c>
          <w:tcPr>
            <w:tcW w:type="dxa" w:w="234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 Pending</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IBM Reviewer</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IBM Review Panel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000000"/>
                <w:sz w:val="20"/>
                <w:szCs w:val="20"/>
              </w:rPr>
              <w:t xml:space="preserve">Pending</w:t>
            </w:r>
          </w:p>
        </w:tc>
        <w:tc>
          <w:tcPr>
            <w:tcW w:type="dxa" w:w="2340"/>
            <w:tcBorders>
              <w:top w:val="single" w:color="CCCCCC" w:sz="1"/>
              <w:left w:val="single" w:color="CCCCCC" w:sz="1"/>
              <w:bottom w:val="single" w:color="CCCCCC" w:sz="1"/>
              <w:right w:val="single" w:color="CCCCCC" w:sz="1"/>
            </w:tcBorders>
            <w:shd w:fill="FAEEDA" w:val="clear"/>
            <w:tcMar>
              <w:top w:type="dxa" w:w="80"/>
              <w:left w:type="dxa" w:w="120"/>
              <w:bottom w:type="dxa" w:w="80"/>
              <w:right w:type="dxa" w:w="120"/>
            </w:tcMar>
          </w:tcPr>
          <w:p>
            <w:r>
              <w:rPr>
                <w:rFonts w:ascii="Arial" w:cs="Arial" w:eastAsia="Arial" w:hAnsi="Arial"/>
                <w:b w:val="false"/>
                <w:bCs w:val="false"/>
                <w:color w:val="000000"/>
                <w:sz w:val="20"/>
                <w:szCs w:val="20"/>
              </w:rPr>
              <w:t xml:space="preserve">⏳ Pending</w:t>
            </w:r>
          </w:p>
        </w:tc>
      </w:tr>
    </w:tbl>
    <w:p>
      <w:pPr>
        <w:spacing w:after="120"/>
      </w:pPr>
    </w:p>
    <w:p>
      <w:pPr>
        <w:spacing w:after="120"/>
      </w:pPr>
    </w:p>
    <w:p>
      <w:pPr>
        <w:spacing w:after="0"/>
        <w:jc w:val="center"/>
      </w:pPr>
      <w:r>
        <w:rPr>
          <w:rFonts w:ascii="Arial" w:cs="Arial" w:eastAsia="Arial" w:hAnsi="Arial"/>
          <w:b/>
          <w:bCs/>
          <w:color w:val="595959"/>
          <w:sz w:val="20"/>
          <w:szCs w:val="20"/>
        </w:rPr>
        <w:t xml:space="preserve">END OF FINAL REPORT</w:t>
      </w:r>
    </w:p>
    <w:sectPr>
      <w:headerReference w:type="default" r:id="rId6"/>
      <w:footerReference w:type="default" r:id="rId7"/>
      <w:pgSz w:w="12240" w:h="15840" w:orient="portrait"/>
      <w:pgMar w:top="1260" w:right="1260" w:bottom="126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pBdr>
      <w:tabs>
        <w:tab w:val="right" w:pos="9026"/>
      </w:tabs>
      <w:spacing w:before="60"/>
    </w:pPr>
    <w:r>
      <w:rPr>
        <w:rFonts w:ascii="Arial" w:cs="Arial" w:eastAsia="Arial" w:hAnsi="Arial"/>
        <w:color w:val="595959"/>
        <w:sz w:val="18"/>
        <w:szCs w:val="18"/>
      </w:rPr>
      <w:t xml:space="preserve">Sayu-V  |  Yenepoya University</w:t>
    </w:r>
    <w:r>
      <w:rPr>
        <w:rFonts w:ascii="Arial" w:cs="Arial" w:eastAsia="Arial" w:hAnsi="Arial"/>
        <w:color w:val="595959"/>
        <w:sz w:val="18"/>
        <w:szCs w:val="18"/>
      </w:rPr>
      <w:t xml:space="preserve">	Final Report v1.0  |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pBdr>
      <w:spacing w:after="60"/>
    </w:pPr>
    <w:r>
      <w:rPr>
        <w:rFonts w:ascii="Arial" w:cs="Arial" w:eastAsia="Arial" w:hAnsi="Arial"/>
        <w:color w:val="595959"/>
        <w:sz w:val="18"/>
        <w:szCs w:val="18"/>
      </w:rPr>
      <w:t xml:space="preserve">FINAL REPORT  |  EXPENSE &amp; INCOME TRACKER  |  IBM STUDENT PROJECT  |  2023–2026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20" w:after="200"/>
      <w:outlineLvl w:val="0"/>
    </w:pPr>
    <w:rPr>
      <w:rFonts w:ascii="Arial" w:cs="Arial" w:eastAsia="Arial" w:hAnsi="Arial"/>
      <w:b/>
      <w:bCs/>
      <w:color w:val="1F4E79"/>
      <w:sz w:val="36"/>
      <w:szCs w:val="36"/>
    </w:rPr>
  </w:style>
  <w:style w:type="paragraph" w:styleId="Heading2">
    <w:name w:val="Heading 2"/>
    <w:basedOn w:val="Normal"/>
    <w:next w:val="Normal"/>
    <w:qFormat/>
    <w:pPr>
      <w:spacing w:before="220" w:after="140"/>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cbf55db9ce7e274bdf5381a47e30112030acd7b3.png"/><Relationship Id="rId9" Type="http://schemas.openxmlformats.org/officeDocument/2006/relationships/image" Target="media/32903b046cc53f6c35983193be94a35e3674c291.png"/><Relationship Id="rId10" Type="http://schemas.openxmlformats.org/officeDocument/2006/relationships/image" Target="media/5367c1f1b7b3ccb93540e7458b8cb2d48f3353d2.png"/><Relationship Id="rId11"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2026-03-19T12:14:22.969Z</dcterms:created>
  <dcterms:modified xsi:type="dcterms:W3CDTF">2026-03-19T12:14:22.970Z</dcterms:modified>
</cp:coreProperties>
</file>

<file path=docProps/custom.xml><?xml version="1.0" encoding="utf-8"?>
<Properties xmlns="http://schemas.openxmlformats.org/officeDocument/2006/custom-properties" xmlns:vt="http://schemas.openxmlformats.org/officeDocument/2006/docPropsVTypes"/>
</file>