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SECURITY DESIGN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Expense &amp; Income Tracker Application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Version 1.0  |  Threat Model · Defence in Depth · OWASP Mapping · Security Controls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Expense &amp; Income Tracker — Full-Stack Rebuild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 |  Initial Release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Sayu-V  |  Yenepoya University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Relates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PRD v2.1 · HLD v1.0 · LLD v1.0 · Architecture v1.0  |  IBM Student 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 March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APPROVED — Security controls confirmed before build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posture &amp; objectives · STRIDE threat model · Defence-in-depth (6 layers) · Input validation pipeline · Pydantic field constraints · Secrets management &amp; .env strategy · CORS policy · SQL injection prevention · Security headers · OWASP Top 10 mapping · Data security · Security testing checklist (14 items) · Future improvements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r>
        <w:br w:type="page"/>
      </w: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1. Security Posture &amp; Scope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security design for the Expense &amp; Income Tracker. Security controls have been applied appropriate to the application's context: a single-user, localhost-only application submitted as an IBM student project, run via Docker on a developer's machine.</w:t>
      </w:r>
    </w:p>
    <w:p>
      <w:pPr>
        <w:spacing w:after="120"/>
      </w:pPr>
    </w:p>
    <w:p>
      <w:pPr>
        <w:pBdr>
          <w:left w:val="single" w:color="BA7517" w:sz="24"/>
        </w:pBdr>
        <w:shd w:fill="FFF3CD" w:val="clear"/>
        <w:spacing w:before="120" w:after="12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  Deployment scope: All security controls in this document are designed for a local Docker environment accessed only from localhost. Production deployment would require additional controls (TLS/HTTPS, rate limiting, JWT authentication) documented in Section 12.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Security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achieved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Secrets never exposed in code or logs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gitignored; no hardcoded credentials; sanitised error messages returned to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cannot be corrupted by malformed input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v2 validates every field; ORM uses parameterised queries only; service layer enforces business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remains stable under normal use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health checks; FastAPI global exception handler prevents crashes; SQLModel connection pooling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changes traceable for IBM review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commit history; created_at / updated_at timestamps on every record; structured error logs server-side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2. Defence in Depth — Six Security Layers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Security is applied at every layer of the stack. Even if one layer is bypassed or misconfigured, subsequent layers continue to protect the system. This is the defence-in-depth principle — no single point of failure.</w:t>
      </w:r>
    </w:p>
    <w:p>
      <w:pPr>
        <w:spacing w:after="120"/>
      </w:pPr>
    </w:p>
    <w:p>
      <w:pPr>
        <w:spacing w:before="160" w:after="60"/>
        <w:jc w:val="center"/>
      </w:pPr>
      <w:r>
        <w:drawing>
          <wp:inline distT="0" distB="0" distL="0" distR="0">
            <wp:extent cx="6667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1: Defence in depth — six concentric security layers from Docker network isolation outward to the PostgreSQL core. An attacker's request is blocked at the earliest applicable layer.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200"/>
        <w:gridCol w:w="3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stops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bridge network isolates all containers. No public port binding beyond localhost.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network scanning, unauthorised remote access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on localhost only. TLS not required for local demo; mandatory for any production deployment.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Eavesdropping from other processes on the same machine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middleware: only localhost:5173 allowed. Security response headers on every reply.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Cross-origin attacks, clickjacking, MIME sniffing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v2 validates type, length, range, and format of every field before any logic executes.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Malformed payloads, type confusion, oversized strings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layer verifies category existence, date validity, and business constraints. Raises 400 on violations.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Logically invalid data reaching the database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SQLModel ORM generates parameterised SQL exclusively. Raw string interpolation into queries is architecturally impossible.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injection attacks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3. STRIDE Threat Model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STRIDE analyses six categories of threat against every component. The table below assesses each threat category in the context of this application and the specific mitigation applied.</w:t>
      </w:r>
    </w:p>
    <w:p>
      <w:pPr>
        <w:spacing w:after="120"/>
      </w:pPr>
    </w:p>
    <w:p>
      <w:pPr>
        <w:spacing w:before="160" w:after="60"/>
        <w:jc w:val="center"/>
      </w:pPr>
      <w:r>
        <w:drawing>
          <wp:inline distT="0" distB="0" distL="0" distR="0">
            <wp:extent cx="6667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2: STRIDE threat model — Spoofing, Tampering, Repudiation, Information Disclosure, Denial of Service, Elevation of Privilege — each assessed with trigger and mitigation.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700"/>
        <w:gridCol w:w="35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risk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Spoofing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auth system — single user on localhost. Not exposed externally. Nothing to spoof.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Tampering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input validated by Pydantic. ORM uses parameterised queries. DB in isolated container.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— HTTP localhost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Repudiation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Single-user app. GitHub commit history provides dev audit trail. Timestamps on all records.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Acceptable for local submission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 Disclosure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MITIGATED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gitignored. No secrets in source code. Error responses sanitised — no stack traces to client.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— .env must be protected on dev machine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 only. No public endpoint. FastAPI async handles concurrent requests natively.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— no public surface to attack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 Elevation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privilege levels exist. Single user has full access by design (ADR-005). PostgreSQL runs as non-root user in container.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no multi-user privilege to escalate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4. Input Validation &amp; Pydantic Enforcement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piece of data entering the application passes through a five-gate validation pipeline. Bad input is rejected at the earliest possible gate and never reaches the database.</w:t>
      </w:r>
    </w:p>
    <w:p>
      <w:pPr>
        <w:spacing w:after="120"/>
      </w:pPr>
    </w:p>
    <w:p>
      <w:pPr>
        <w:spacing w:before="160" w:after="60"/>
        <w:jc w:val="center"/>
      </w:pPr>
      <w:r>
        <w:drawing>
          <wp:inline distT="0" distB="0" distL="0" distR="0">
            <wp:extent cx="6667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3: Input validation pipeline — five sequential gates. CORS blocks wrong-origin requests (403), Pydantic rejects malformed data (422), service layer catches business violations (400).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Pydantic field-level constraints — full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gt=0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zero/negative amounts. No financial record can have a non-positive value.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/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min_length=1, max_length=100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empty string injection and excessively long strings that could stress the database index.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min_length=1, max_length=200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empty submissions. Upper bound limits storage footprint and reduces XSS surface.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Optional[str]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max_length=500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but bounded. Null is allowed — not an empty string — to prevent whitespace-only notes.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Custom: not future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future-dated entries that would corrupt monthly analytics. ISO 8601 format enforced by Pydantic.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income.source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Whitelist: INCOME_SOURCES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predefined values accepted (Salary, Freelance, etc). Prevents arbitrary string injection into source field.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budget.month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ge=1, le=12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Constrained integer range. Structurally impossible to insert invalid month values.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budget.year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ge=2020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historical year insertions that would corrupt trend analytics.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Custom validator code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app/schemas.py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from pydantic import BaseModel, Field, field_validator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from datetime import date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INCOME_SOURCES = ['Salary','Freelance','Business','Investment','Gift','Other']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class ExpenseCreate(BaseModel):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amount:   float = Field(gt=0)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date:     date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@field_validator('date')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@classmethod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def date_not_future(cls, v: date) -&gt; date: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if v &gt; date.today():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    raise ValueError('Expense date cannot be in the future')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return v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class IncomeCreate(BaseModel):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source: str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@field_validator('source')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@classmethod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def source_must_be_valid(cls, v: str) -&gt; str: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if v not in INCOME_SOURCES: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    raise ValueError(f'source must be one of {INCOME_SOURCES}')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return v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5. Secrets Management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follows the Twelve-Factor App principle: configuration is stored in the environment. No secret ever appears in source code, is committed to GitHub, or appears in error messages or logs.</w:t>
      </w:r>
    </w:p>
    <w:p>
      <w:pPr>
        <w:spacing w:after="120"/>
      </w:pPr>
    </w:p>
    <w:p>
      <w:pPr>
        <w:spacing w:before="160" w:after="60"/>
        <w:jc w:val="center"/>
      </w:pPr>
      <w:r>
        <w:drawing>
          <wp:inline distT="0" distB="0" distL="0" distR="0">
            <wp:extent cx="6667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4: Secrets management flow — .env is loaded at runtime by python-dotenv, injected into Pydantic BaseSettings, and flows to SQLModel engine. The .env file is permanently gitignored.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Secret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Committed?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PostgreSQL connection string including password. Injected via Docker env at runtime.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login username. Set once at container initialisation.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password. Never appears in any log file or API response.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POSTGRES_DB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name. Not sensitive but kept with DB config for consistency.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Axios base URL. Not sensitive but follows same pattern for env-specific config.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Yes — safe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with all variable names but NO values. New developers copy and fill in locally.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Security-critical .gitignore entries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.gitignore — critical entries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.env            # Never committed — contains all secrets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*.env           # Catches .env.local, .env.production, etc.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__pycache__/    # No compiled bytecode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*.pyc           # No .pyc files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node_modules/   # No installed packages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dist/           # No build output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*.log           # No logs (may contain sensitive data)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venv/           # No virtual environment folder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No hardcoded secrets — enforced code rule</w:t>
      </w:r>
    </w:p>
    <w:p>
      <w:pPr>
        <w:pBdr>
          <w:left w:val="single" w:color="1D9E75" w:sz="24"/>
        </w:pBdr>
        <w:shd w:fill="E1F5EE" w:val="clear"/>
        <w:spacing w:before="120" w:after="12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  Rule: No string in the codebase may contain a password, connection string, or API key. All secrets must be read from os.environ via Pydantic Settings. Verified by code review on every merge to main.</w:t>
      </w:r>
    </w:p>
    <w:p>
      <w:pPr>
        <w:spacing w:after="120"/>
      </w:pP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CORRECT — read from Pydantic Settings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from app.config import settings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engine = create_engine(settings.DATABASE_URL)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WRONG — never do this (hardcoded credential)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engine = create_engine("postgresql://user:password@localhost/db")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6. CORS Policy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Cross-Origin Resource Sharing (CORS) restricts which origins can make requests to the FastAPI backend. Only the React frontend at localhost:5173 is permitted. Any other origin receives no CORS headers and the browser blocks the request.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CORS configuration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app/main.py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from fastapi.middleware.cors import CORSMiddleware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app.add_middleware(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CORSMiddleware,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allow_origins=['http://localhost:5173'],   # React dev server only — no wildcards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allow_credentials=False,                   # No cookies in use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allow_methods=['GET', 'POST', 'PUT', 'DELETE'],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allow_headers=['Content-Type', 'Accept'],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chosen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allow_origins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['http://localhost:5173']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Explicit whitelist only. No wildcard (*). Prevents any other origin from calling the API.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allow_credentials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cookies or auth headers used. False prevents credential leakage across origins.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allow_methods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GET, POST, PUT, 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required methods. PATCH, HEAD, OPTIONS not exposed.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allow_headers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Content-Type, Accept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required headers. Prevents custom header injection.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7. SQL Injection Prevention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 injection is structurally prevented at the ORM layer. SQLModel and its SQLAlchemy core always generate parameterised queries. User input is bound as data parameters, never concatenated into SQL strings.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How SQLModel eliminates SQL injection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SQLModel always generates parameterised queries internally.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User input is NEVER string-interpolated into SQL.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What SQLModel generates from this code: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statement = select(Expense).where(Expense.category == category)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→ SELECT * FROM expenses WHERE category = $1   ($1 = category value, escaped by driver)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CORRECT — parameterised via ORM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results = db.exec(select(Expense).where(Expense.category == data.category)).all()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WRONG — raw SQL with f-string (never present in this codebase)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query = f"SELECT * FROM expenses WHERE category = '{data.category}'"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↑ This pattern is structurally absent from the codebase by design.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Additional service-layer validation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app/services/expense_service.py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Category validated against DB before insert — second layer of protection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def create_expense(data: ExpenseCreate, db: Session) -&gt; Expense: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cat = db.exec(select(Category).where(Category.name == data.category)).first()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if not cat: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raise HTTPException(status_code=400,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                    detail=f"Category '{data.category}' does not exist")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expense = Expense(**data.model_dump())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db.add(expense)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db.commit()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db.refresh(expense)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return expense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8. Security Response Headers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Security headers are injected into every HTTP response from FastAPI via a custom Starlette middleware. These headers instruct the browser on safe handling of responses and prevent client-side attacks.</w:t>
      </w:r>
    </w:p>
    <w:p>
      <w:pPr>
        <w:spacing w:after="120"/>
      </w:pP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app/main.py — security headers middleware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from starlette.middleware.base import BaseHTTPMiddleware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class SecurityHeadersMiddleware(BaseHTTPMiddleware):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async def dispatch(self, request, call_next):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response = await call_next(request)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response.headers['X-Content-Type-Options'] = 'nosniff'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response.headers['X-Frame-Options']        = 'DENY'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response.headers['X-XSS-Protection']       = '1; mode=block'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response.headers['Referrer-Policy']        = 'strict-origin'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response.headers['Cache-Control']          = 'no-store'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return response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app.add_middleware(SecurityHeadersMiddleware)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prevented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nosniff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MIME-type sniffing — browser executing malicious content by ignoring declared content type.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DENY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Clickjacking — embedding the app in a hidden iframe on a malicious site.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X-XSS-Protection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1; mode=block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Reflected XSS on older browsers that do not support Content Security Policy.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strict-origin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Referrer header leaking path or query parameters to external resources.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Cache-Control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no-store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caching of sensitive financial API responses between sessions.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9. OWASP Top 10 — 2021 Mapping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OWASP Top 10 is the industry-standard list of the most critical web application security risks. Every IBM project reviewer will be familiar with this framework. The table below maps each risk to this application.</w:t>
      </w:r>
    </w:p>
    <w:p>
      <w:pPr>
        <w:spacing w:after="120"/>
      </w:pPr>
    </w:p>
    <w:p>
      <w:pPr>
        <w:spacing w:before="160" w:after="60"/>
        <w:jc w:val="center"/>
      </w:pPr>
      <w:r>
        <w:drawing>
          <wp:inline distT="0" distB="0" distL="0" distR="0">
            <wp:extent cx="6667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5: OWASP Top 10 (2021) — all ten risks assessed. Green = mitigated or not applicable. Amber = partial or monitored. No critical gaps for a localhost single-user application.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600"/>
        <w:gridCol w:w="4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 2021 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or rationale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Broken Access Control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N/A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Single-user, no access control system. Intentional design (ADR-005).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Cryptographic Failures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MITIGATED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passwords stored. No PII. All secrets in .env. HTTP on localhost; TLS for production.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MITIGATED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SQLModel ORM: all queries parameterised. Pydantic: all input validated before ORM call. No raw SQL.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Insecure 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ADDRESSED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Defence-in-depth, service layer pattern, schema separation, 5 ADRs document all key decisions.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Misconfiguration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MITIGATED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whitelist. Security headers on all responses. .env gitignored. No debug mode in prod Dockerfile.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Vulnerable &amp; Outdated Components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MONITORED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requirements.txt pins versions. npm audit for frontend. Update before final submission.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Identification &amp; Auth Failures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N/A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authentication in v1 by design. Single-user localhost app (ADR-005).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&amp; Data Integrity Failures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ADDRESSED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enforces commit integrity. Docker images pinned to specific versions.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Logging &amp; 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PARTIAL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created_at/updated_at on all records. Uvicorn access logs. Full audit logging is a v2 feature.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Request Forgery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N/A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outbound HTTP requests from backend. No URL inputs accepted. Zero SSRF attack surface.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10. Data Security &amp; Privacy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Error message sanitisation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global exception handler ensures no internal implementation details, stack traces, or database schema information ever reach the client: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app/main.py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@app.exception_handler(Exception)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async def global_exception_handler(request: Request, exc: Exception):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logger.error(f'Unhandled: {exc}', exc_info=True)  # Full trace server-side only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return JSONResponse(                               # Sanitised to client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status_code=500,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content={'detail': 'An unexpected error occurred.', 'status_code': 500}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)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3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PII?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 records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 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in isolated container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 records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 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in isolated container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credentials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.gitignored, never logged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amounts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budgets 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in isolated container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11. Security Testing Checklist — Pre-Submission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14 items below must be verified before IBM submission. Pytest items are in the automated suite; manual items are confirmed with screenshots in the Handover document.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/expenses — amount =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422 Unprocessable Entity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/expenses — amount = -50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422 Unprocessable Entity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/expenses — date in future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422 with 'cannot be in the future'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/expenses — invalid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400 — category not found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/income — invalid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422 — source not in allowed list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/expenses/{id} — non-existent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404 Not Found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/budgets — duplicate category+month+year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400 — duplicate constraint enforced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/expenses — description empty 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422 — min_length=1 violation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injection via category 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 parameterises — no injection, 400 returned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CORS: request from disallowed origin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devtools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blocks — no CORS headers in response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absent from GitHub repository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not in any commit in the repository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.env.example committed with empty values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variable values are empty strings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headers on API response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devtools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X-Content-Type-Options, X-Frame-Options, etc. visible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error returns sanitised 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contains only generic message — no stack trace</w:t>
            </w:r>
          </w:p>
        </w:tc>
      </w:tr>
    </w:tbl>
    <w:p>
      <w:pPr>
        <w:spacing w:after="120"/>
      </w:pPr>
    </w:p>
    <w:p>
      <w:pPr>
        <w:pBdr>
          <w:left w:val="single" w:color="1D9E75" w:sz="24"/>
        </w:pBdr>
        <w:shd w:fill="E1F5EE" w:val="clear"/>
        <w:spacing w:before="120" w:after="12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  All 14 security tests must pass before IBM submission. Results are captured as screenshots in the Handover Document.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12. Future Security Improvements — v2 Roadmap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controls are out of scope for v1 but required before any production or public deployment: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authentication — bearer tokens per request, bcrypt password hashing, token expiry and 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 / TLS — mandatory for any non-localhost deployment; certificates via Let's Encrypt / Certbot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— slowapi middleware to prevent brute force and DoS on API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Security Policy (CSP) header — restrict script and style sources to known origins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 table — record every write operation with timestamp for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encryption at rest — pgcrypto extension for sensitive financial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Dependency scanning — GitHub Dependabot for automatic CVE alerts on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Penetration testing — OWASP ZAP automated scan before any public deployment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13. Document Sign-Off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Sayu-V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19/3/2026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Approved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IBM Project Guide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top w:val="single" w:color="2E75B6" w:sz="4"/>
          <w:bottom w:val="single" w:color="2E75B6" w:sz="4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Next document: Database Design — full ER diagram, DDL scripts, index strategy, constraints, and seed data plan.</w:t>
      </w:r>
    </w:p>
    <w:p>
      <w:pPr>
        <w:spacing w:after="12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8"/>
        <w:szCs w:val="18"/>
      </w:rPr>
      <w:t xml:space="preserve">Sayu-V  |  Yenepoya University  |  IBM Student Project</w:t>
    </w:r>
    <w:r>
      <w:rPr>
        <w:rFonts w:ascii="Arial" w:cs="Arial" w:eastAsia="Arial" w:hAnsi="Arial"/>
        <w:color w:val="595959"/>
        <w:sz w:val="18"/>
        <w:szCs w:val="18"/>
      </w:rPr>
      <w:t xml:space="preserve">	Security Design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60"/>
    </w:pPr>
    <w:r>
      <w:rPr>
        <w:rFonts w:ascii="Arial" w:cs="Arial" w:eastAsia="Arial" w:hAnsi="Arial"/>
        <w:color w:val="595959"/>
        <w:sz w:val="18"/>
        <w:szCs w:val="18"/>
      </w:rPr>
      <w:t xml:space="preserve">EXPENSE &amp; INCOME TRACKER  |  SECURITY DESIGN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64be93c552c32b04cb4e484538c2cadd48846f7.png"/><Relationship Id="rId9" Type="http://schemas.openxmlformats.org/officeDocument/2006/relationships/image" Target="media/a873b4723389b007b76f81bb38f0ecd1e089a06b.png"/><Relationship Id="rId10" Type="http://schemas.openxmlformats.org/officeDocument/2006/relationships/image" Target="media/1a43e25d8c8afd4a01fb088623235dde4659c7a5.png"/><Relationship Id="rId11" Type="http://schemas.openxmlformats.org/officeDocument/2006/relationships/image" Target="media/37a965bc8f16d81750b24d60cfa83122c7082b7f.png"/><Relationship Id="rId12" Type="http://schemas.openxmlformats.org/officeDocument/2006/relationships/image" Target="media/92adfa2e7e29db4331e16f447fcd49a72242bf18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2026-03-19T10:15:39.003Z</dcterms:created>
  <dcterms:modified xsi:type="dcterms:W3CDTF">2026-03-19T10:15:39.004Z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