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300"/>
        <w:jc w:val="center"/>
      </w:pPr>
      <w:r>
        <w:rPr>
          <w:b/>
          <w:bCs/>
          <w:sz w:val="44"/>
          <w:szCs w:val="44"/>
        </w:rPr>
        <w:t xml:space="preserve">Research Strategy &amp; Design Document</w:t>
      </w:r>
    </w:p>
    <w:p>
      <w:pPr>
        <w:spacing w:after="500"/>
        <w:jc w:val="center"/>
      </w:pPr>
      <w:r>
        <w:rPr>
          <w:color w:val="44546A"/>
          <w:sz w:val="28"/>
          <w:szCs w:val="28"/>
        </w:rPr>
        <w:t xml:space="preserve">Version 1.0 — Full Document (Parts A–C)</w:t>
      </w:r>
    </w:p>
    <w:p>
      <w:pPr>
        <w:spacing w:after="800"/>
        <w:jc w:val="center"/>
      </w:pPr>
      <w:r>
        <w:rPr>
          <w:i/>
          <w:iCs/>
          <w:sz w:val="26"/>
          <w:szCs w:val="26"/>
        </w:rPr>
        <w:t xml:space="preserve">Trustworthy Learning Analytics Group-aware Framework for Responsible Early Academic Intervention</w:t>
      </w:r>
    </w:p>
    <w:p>
      <w:pPr>
        <w:spacing w:after="150"/>
        <w:jc w:val="center"/>
      </w:pPr>
      <w:r>
        <w:rPr>
          <w:b/>
          <w:bCs/>
          <w:sz w:val="22"/>
          <w:szCs w:val="22"/>
        </w:rPr>
        <w:t xml:space="preserve">Status: </w:t>
      </w:r>
      <w:r>
        <w:rPr>
          <w:sz w:val="22"/>
          <w:szCs w:val="22"/>
        </w:rPr>
        <w:t xml:space="preserve">Internal Research Design Document</w:t>
      </w:r>
    </w:p>
    <w:p>
      <w:pPr>
        <w:spacing w:after="600"/>
        <w:jc w:val="center"/>
      </w:pPr>
      <w:r>
        <w:rPr>
          <w:b/>
          <w:bCs/>
          <w:sz w:val="22"/>
          <w:szCs w:val="22"/>
        </w:rPr>
        <w:t xml:space="preserve">Purpose: </w:t>
      </w:r>
      <w:r>
        <w:rPr>
          <w:sz w:val="22"/>
          <w:szCs w:val="22"/>
        </w:rPr>
        <w:t xml:space="preserve">Strategic planning document for IEEE TALE 2026 conference paper, MSc dissertation, and future journal publication.</w:t>
      </w:r>
    </w:p>
    <w:p>
      <w:pPr>
        <w:spacing w:after="150"/>
        <w:jc w:val="center"/>
      </w:pPr>
      <w:r>
        <w:rPr>
          <w:b/>
          <w:bCs/>
          <w:sz w:val="22"/>
          <w:szCs w:val="22"/>
        </w:rPr>
        <w:t xml:space="preserve">Contents:</w:t>
      </w:r>
    </w:p>
    <w:p>
      <w:pPr>
        <w:spacing w:after="80"/>
        <w:jc w:val="center"/>
      </w:pPr>
      <w:r>
        <w:t xml:space="preserve">Part A — Research Vision, Problem Statement &amp; Objectives</w:t>
      </w:r>
    </w:p>
    <w:p>
      <w:pPr>
        <w:spacing w:after="80"/>
        <w:jc w:val="center"/>
      </w:pPr>
      <w:r>
        <w:t xml:space="preserve">Part B — Research Framework, Methodology &amp; Educational Decision Framework</w:t>
      </w:r>
    </w:p>
    <w:p>
      <w:pPr>
        <w:spacing w:after="80"/>
        <w:jc w:val="center"/>
      </w:pPr>
      <w:r>
        <w:t xml:space="preserve">Part C — Literature Review Strategy &amp; Evidence Collection</w:t>
      </w:r>
    </w:p>
    <w:p>
      <w:pPr>
        <w:pageBreakBefore/>
      </w:pP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spacing w:after="100"/>
      </w:pPr>
      <w:r>
        <w:rPr>
          <w:b/>
          <w:bCs/>
          <w:color w:val="4472C4"/>
          <w:sz w:val="20"/>
          <w:szCs w:val="20"/>
        </w:rPr>
        <w:t xml:space="preserve">PART A</w:t>
      </w:r>
    </w:p>
    <w:p>
      <w:pPr>
        <w:pStyle w:val="Heading1"/>
        <w:spacing w:after="200" w:before="400"/>
      </w:pPr>
      <w:r>
        <w:t xml:space="preserve">Part A — Research Vision, Problem Statement &amp; Objectives</w:t>
      </w:r>
    </w:p>
    <w:p>
      <w:pPr>
        <w:pStyle w:val="Heading3"/>
        <w:spacing w:after="120" w:before="200"/>
      </w:pPr>
      <w:r>
        <w:t xml:space="preserve">Working Framework Name</w:t>
      </w:r>
    </w:p>
    <w:p>
      <w:pPr>
        <w:spacing w:after="200"/>
      </w:pPr>
      <w:r>
        <w:rPr>
          <w:b/>
          <w:bCs/>
        </w:rPr>
        <w:t xml:space="preserve">Trustworthy Learning Analytics Group-aware Framework for Responsible Early Academic Intervention</w:t>
      </w:r>
    </w:p>
    <w:p>
      <w:pPr>
        <w:pBdr>
          <w:left w:val="single" w:color="4472C4" w:sz="18" w:space="8"/>
        </w:pBdr>
        <w:spacing w:after="200" w:before="150"/>
        <w:ind w:left="576"/>
      </w:pPr>
      <w:r>
        <w:rPr>
          <w:i/>
          <w:iCs/>
        </w:rPr>
        <w:t xml:space="preserve">Status: Internal Research Design Document — Purpose: Strategic planning document for IEEE TALE 2026 conference paper, MSc dissertation, and future journal publication.</w:t>
      </w:r>
    </w:p>
    <w:p>
      <w:pPr>
        <w:pStyle w:val="Heading2"/>
        <w:spacing w:after="150" w:before="300"/>
      </w:pPr>
      <w:r>
        <w:t xml:space="preserve">Executive Summary</w:t>
      </w:r>
    </w:p>
    <w:p>
      <w:pPr>
        <w:pStyle w:val="Heading3"/>
        <w:spacing w:after="120" w:before="200"/>
      </w:pPr>
      <w:r>
        <w:t xml:space="preserve">Purpose of this Research</w:t>
      </w:r>
    </w:p>
    <w:p>
      <w:pPr>
        <w:spacing w:after="200"/>
      </w:pPr>
      <w:r>
        <w:t xml:space="preserve">Higher education institutions increasingly rely on learning analytics to identify students who may require academic support before poor academic outcomes become irreversible. Although many studies have demonstrated that student performance can be predicted using machine learning techniques, considerably less attention has been paid to an equally important question:</w:t>
      </w:r>
    </w:p>
    <w:p>
      <w:pPr>
        <w:pBdr>
          <w:left w:val="single" w:color="4472C4" w:sz="18" w:space="8"/>
        </w:pBdr>
        <w:spacing w:after="200" w:before="150"/>
        <w:ind w:left="576"/>
      </w:pPr>
      <w:r>
        <w:rPr>
          <w:i/>
          <w:iCs/>
        </w:rPr>
        <w:t xml:space="preserve">When can these predictions be trusted sufficiently to support educational decision-making?</w:t>
      </w:r>
    </w:p>
    <w:p>
      <w:pPr>
        <w:spacing w:after="200"/>
      </w:pPr>
      <w:r>
        <w:t xml:space="preserve">Current research has predominantly focused on improving predictive accuracy through increasingly sophisticated machine learning algorithms. While accuracy is undoubtedly important, it alone cannot determine whether a prediction is suitable for informing interventions that may influence a student's academic pathway. A prediction may appear accurate on average while remaining unstable across repeated training runs, systematically biased toward certain groups of students, or difficult for educators to interpret.</w:t>
      </w:r>
    </w:p>
    <w:p>
      <w:pPr>
        <w:spacing w:after="200"/>
      </w:pPr>
      <w:r>
        <w:t xml:space="preserve">This research therefore shifts the focus away from algorithm competition towards trustworthy educational decision support.</w:t>
      </w:r>
    </w:p>
    <w:p>
      <w:pPr>
        <w:spacing w:after="200"/>
      </w:pPr>
      <w:r>
        <w:t xml:space="preserve">Instead of asking:</w:t>
      </w:r>
    </w:p>
    <w:p>
      <w:pPr>
        <w:pBdr>
          <w:left w:val="single" w:color="4472C4" w:sz="18" w:space="8"/>
        </w:pBdr>
        <w:spacing w:after="200" w:before="150"/>
        <w:ind w:left="576"/>
      </w:pPr>
      <w:r>
        <w:rPr>
          <w:i/>
          <w:iCs/>
        </w:rPr>
        <w:t xml:space="preserve">Which model predicts student performance most accurately?</w:t>
      </w:r>
    </w:p>
    <w:p>
      <w:pPr>
        <w:spacing w:after="200"/>
      </w:pPr>
      <w:r>
        <w:t xml:space="preserve">this research asks three complementary questions:</w:t>
      </w:r>
    </w:p>
    <w:p>
      <w:pPr>
        <w:pStyle w:val="ListParagraph"/>
        <w:numPr>
          <w:ilvl w:val="0"/>
          <w:numId w:val="2"/>
        </w:numPr>
        <w:spacing w:after="100"/>
      </w:pPr>
      <w:r>
        <w:t xml:space="preserve">When do predictions become sufficiently trustworthy to support educational interventions?</w:t>
      </w:r>
    </w:p>
    <w:p>
      <w:pPr>
        <w:pStyle w:val="ListParagraph"/>
        <w:numPr>
          <w:ilvl w:val="0"/>
          <w:numId w:val="2"/>
        </w:numPr>
        <w:spacing w:after="100"/>
      </w:pPr>
      <w:r>
        <w:t xml:space="preserve">Why does prediction reliability evolve throughout a student's academic journey?</w:t>
      </w:r>
    </w:p>
    <w:p>
      <w:pPr>
        <w:pStyle w:val="ListParagraph"/>
        <w:numPr>
          <w:ilvl w:val="0"/>
          <w:numId w:val="2"/>
        </w:numPr>
        <w:spacing w:after="100"/>
      </w:pPr>
      <w:r>
        <w:t xml:space="preserve">How should educational institutions use predictions with different levels of confidence responsibly?</w:t>
      </w:r>
    </w:p>
    <w:p>
      <w:pPr>
        <w:spacing w:after="200"/>
      </w:pPr>
      <w:r>
        <w:t xml:space="preserve">To answer these questions, this study proposes a Trustworthy Learning Analytics Group-aware Framework comprising two interconnected analytical components and a decision-support perspective.</w:t>
      </w:r>
    </w:p>
    <w:p>
      <w:pPr>
        <w:spacing w:after="200"/>
      </w:pPr>
      <w:r>
        <w:t xml:space="preserve">The first component evaluates prediction reliability by jointly considering prediction accuracy, prediction stability across repeated cross-validation, and systematic directional bias across student performance groups.</w:t>
      </w:r>
    </w:p>
    <w:p>
      <w:pPr>
        <w:spacing w:after="200"/>
      </w:pPr>
      <w:r>
        <w:t xml:space="preserve">The second component explains the evolution of prediction reliability using explainable artificial intelligence. By analysing the changing contributions of semester GPAs, module grades, demographic characteristics, and pre-university academic factors through Linear SHAP, the study seeks to identify how academic indicators evolve over time and which early learning behaviours provide meaningful signals of future academic performance.</w:t>
      </w:r>
    </w:p>
    <w:p>
      <w:pPr>
        <w:spacing w:after="200"/>
      </w:pPr>
      <w:r>
        <w:t xml:space="preserve">Together, these components move beyond conventional prediction studies by integrating prediction reliability, explainability, and educational decision support into a unified framework for responsible learning analytics.</w:t>
      </w:r>
    </w:p>
    <w:p>
      <w:pPr>
        <w:pStyle w:val="Heading2"/>
        <w:spacing w:after="150" w:before="300"/>
      </w:pPr>
      <w:r>
        <w:t xml:space="preserve">Research Vision</w:t>
      </w:r>
    </w:p>
    <w:p>
      <w:pPr>
        <w:pStyle w:val="Heading3"/>
        <w:spacing w:after="120" w:before="200"/>
      </w:pPr>
      <w:r>
        <w:t xml:space="preserve">Long-Term Vision</w:t>
      </w:r>
    </w:p>
    <w:p>
      <w:pPr>
        <w:spacing w:after="200"/>
      </w:pPr>
      <w:r>
        <w:t xml:space="preserve">The long-term vision of this research is to contribute towards responsible and trustworthy learning analytics by providing universities with practical guidance on interpreting prediction models rather than merely improving their predictive performance.</w:t>
      </w:r>
    </w:p>
    <w:p>
      <w:pPr>
        <w:spacing w:after="200"/>
      </w:pPr>
      <w:r>
        <w:t xml:space="preserve">Rather than developing increasingly complex machine learning algorithms, this research seeks to establish principles for determining:</w:t>
      </w:r>
    </w:p>
    <w:p>
      <w:pPr>
        <w:pStyle w:val="ListParagraph"/>
        <w:numPr>
          <w:ilvl w:val="0"/>
          <w:numId w:val="1"/>
        </w:numPr>
        <w:spacing w:after="100"/>
      </w:pPr>
      <w:r>
        <w:t xml:space="preserve">when prediction results can be trusted,</w:t>
      </w:r>
    </w:p>
    <w:p>
      <w:pPr>
        <w:pStyle w:val="ListParagraph"/>
        <w:numPr>
          <w:ilvl w:val="0"/>
          <w:numId w:val="1"/>
        </w:numPr>
        <w:spacing w:after="100"/>
      </w:pPr>
      <w:r>
        <w:t xml:space="preserve">why prediction confidence changes over time,</w:t>
      </w:r>
    </w:p>
    <w:p>
      <w:pPr>
        <w:pStyle w:val="ListParagraph"/>
        <w:numPr>
          <w:ilvl w:val="0"/>
          <w:numId w:val="1"/>
        </w:numPr>
        <w:spacing w:after="100"/>
      </w:pPr>
      <w:r>
        <w:t xml:space="preserve">how educators should interpret prediction outputs, and</w:t>
      </w:r>
    </w:p>
    <w:p>
      <w:pPr>
        <w:pStyle w:val="ListParagraph"/>
        <w:numPr>
          <w:ilvl w:val="0"/>
          <w:numId w:val="1"/>
        </w:numPr>
        <w:spacing w:after="100"/>
      </w:pPr>
      <w:r>
        <w:t xml:space="preserve">how prediction confidence should influence intervention strategies.</w:t>
      </w:r>
    </w:p>
    <w:p>
      <w:pPr>
        <w:spacing w:after="200"/>
      </w:pPr>
      <w:r>
        <w:t xml:space="preserve">Ultimately, the research aims to bridge the gap between predictive modelling and educational practice by transforming prediction models from technical artefacts into evidence-based decision-support tools.</w:t>
      </w:r>
    </w:p>
    <w:p>
      <w:pPr>
        <w:pStyle w:val="Heading3"/>
        <w:spacing w:after="120" w:before="200"/>
      </w:pPr>
      <w:r>
        <w:t xml:space="preserve">Research Philosophy</w:t>
      </w:r>
    </w:p>
    <w:p>
      <w:pPr>
        <w:spacing w:after="200"/>
      </w:pPr>
      <w:r>
        <w:rPr>
          <w:b/>
          <w:bCs/>
        </w:rPr>
        <w:t xml:space="preserve">Principle 1 — </w:t>
      </w:r>
      <w:r>
        <w:t xml:space="preserve">Prediction accuracy alone is insufficient for educational decision-making.</w:t>
      </w:r>
    </w:p>
    <w:p>
      <w:pPr>
        <w:spacing w:after="200"/>
      </w:pPr>
      <w:r>
        <w:rPr>
          <w:b/>
          <w:bCs/>
        </w:rPr>
        <w:t xml:space="preserve">Principle 2 — </w:t>
      </w:r>
      <w:r>
        <w:t xml:space="preserve">Transparent models provide greater educational value than unnecessarily complex models when predictive performance is comparable. Ridge Regression is deliberately selected because it supports transparency, stability and Linear SHAP explainability.</w:t>
      </w:r>
    </w:p>
    <w:p>
      <w:pPr>
        <w:spacing w:after="200"/>
      </w:pPr>
      <w:r>
        <w:rPr>
          <w:b/>
          <w:bCs/>
        </w:rPr>
        <w:t xml:space="preserve">Principle 3 — </w:t>
      </w:r>
      <w:r>
        <w:t xml:space="preserve">Prediction systems should support educators rather than replace educational judgement.</w:t>
      </w:r>
    </w:p>
    <w:p>
      <w:pPr>
        <w:spacing w:after="200"/>
      </w:pPr>
      <w:r>
        <w:rPr>
          <w:b/>
          <w:bCs/>
        </w:rPr>
        <w:t xml:space="preserve">Principle 4 — </w:t>
      </w:r>
      <w:r>
        <w:t xml:space="preserve">Learning analytics should explain educational processes rather than merely identify statistical relationships.</w:t>
      </w:r>
    </w:p>
    <w:p>
      <w:pPr>
        <w:pStyle w:val="Heading2"/>
        <w:spacing w:after="150" w:before="300"/>
      </w:pPr>
      <w:r>
        <w:t xml:space="preserve">Research Story</w:t>
      </w:r>
    </w:p>
    <w:p>
      <w:pPr>
        <w:pStyle w:val="Heading3"/>
        <w:spacing w:after="120" w:before="200"/>
      </w:pPr>
      <w:r>
        <w:t xml:space="preserve">Chapter 1 — The Problem</w:t>
      </w:r>
    </w:p>
    <w:p>
      <w:pPr>
        <w:spacing w:after="200"/>
      </w:pPr>
      <w:r>
        <w:t xml:space="preserve">Universities increasingly deploy learning analytics systems to predict student performance. Existing research primarily evaluates prediction accuracy, yet prediction accuracy alone cannot determine whether predictions are trustworthy enough to support educational interventions.</w:t>
      </w:r>
    </w:p>
    <w:p>
      <w:pPr>
        <w:pStyle w:val="Heading3"/>
        <w:spacing w:after="120" w:before="200"/>
      </w:pPr>
      <w:r>
        <w:t xml:space="preserve">Chapter 2 — The Gap</w:t>
      </w:r>
    </w:p>
    <w:p>
      <w:pPr>
        <w:spacing w:after="200"/>
      </w:pPr>
      <w:r>
        <w:t xml:space="preserve">Current literature rarely considers:</w:t>
      </w:r>
    </w:p>
    <w:p>
      <w:pPr>
        <w:pStyle w:val="ListParagraph"/>
        <w:numPr>
          <w:ilvl w:val="0"/>
          <w:numId w:val="1"/>
        </w:numPr>
        <w:spacing w:after="100"/>
      </w:pPr>
      <w:r>
        <w:t xml:space="preserve">Prediction stability</w:t>
      </w:r>
    </w:p>
    <w:p>
      <w:pPr>
        <w:pStyle w:val="ListParagraph"/>
        <w:numPr>
          <w:ilvl w:val="0"/>
          <w:numId w:val="1"/>
        </w:numPr>
        <w:spacing w:after="100"/>
      </w:pPr>
      <w:r>
        <w:t xml:space="preserve">Prediction bias</w:t>
      </w:r>
    </w:p>
    <w:p>
      <w:pPr>
        <w:pStyle w:val="ListParagraph"/>
        <w:numPr>
          <w:ilvl w:val="0"/>
          <w:numId w:val="1"/>
        </w:numPr>
        <w:spacing w:after="100"/>
      </w:pPr>
      <w:r>
        <w:t xml:space="preserve">Reliability across different student groups</w:t>
      </w:r>
    </w:p>
    <w:p>
      <w:pPr>
        <w:pStyle w:val="ListParagraph"/>
        <w:numPr>
          <w:ilvl w:val="0"/>
          <w:numId w:val="1"/>
        </w:numPr>
        <w:spacing w:after="100"/>
      </w:pPr>
      <w:r>
        <w:t xml:space="preserve">Temporal evolution of prediction confidence</w:t>
      </w:r>
    </w:p>
    <w:p>
      <w:pPr>
        <w:pStyle w:val="ListParagraph"/>
        <w:numPr>
          <w:ilvl w:val="0"/>
          <w:numId w:val="1"/>
        </w:numPr>
        <w:spacing w:after="100"/>
      </w:pPr>
      <w:r>
        <w:t xml:space="preserve">Educational interpretation of prediction confidence</w:t>
      </w:r>
    </w:p>
    <w:p>
      <w:pPr>
        <w:spacing w:after="200"/>
      </w:pPr>
      <w:r>
        <w:t xml:space="preserve">Consequently, universities lack guidance regarding the appropriate timing for using prediction systems within academic decision-making.</w:t>
      </w:r>
    </w:p>
    <w:p>
      <w:pPr>
        <w:pStyle w:val="Heading3"/>
        <w:spacing w:after="120" w:before="200"/>
      </w:pPr>
      <w:r>
        <w:t xml:space="preserve">Chapter 3 — The Proposed Framework</w:t>
      </w:r>
    </w:p>
    <w:p>
      <w:pPr>
        <w:spacing w:after="200"/>
      </w:pPr>
      <w:r>
        <w:rPr>
          <w:b/>
          <w:bCs/>
        </w:rPr>
        <w:t xml:space="preserve">Component One — Prediction Reliability Framework</w:t>
      </w:r>
    </w:p>
    <w:p>
      <w:pPr>
        <w:spacing w:after="200"/>
      </w:pPr>
      <w:r>
        <w:t xml:space="preserve">Answers:</w:t>
      </w:r>
    </w:p>
    <w:p>
      <w:pPr>
        <w:pBdr>
          <w:left w:val="single" w:color="4472C4" w:sz="18" w:space="8"/>
        </w:pBdr>
        <w:spacing w:after="200" w:before="150"/>
        <w:ind w:left="576"/>
      </w:pPr>
      <w:r>
        <w:rPr>
          <w:i/>
          <w:iCs/>
        </w:rPr>
        <w:t xml:space="preserve">When can predictions be trusted?</w:t>
      </w:r>
    </w:p>
    <w:p>
      <w:pPr>
        <w:spacing w:after="200"/>
      </w:pPr>
      <w:r>
        <w:t xml:space="preserve">using:</w:t>
      </w:r>
    </w:p>
    <w:p>
      <w:pPr>
        <w:pStyle w:val="ListParagraph"/>
        <w:numPr>
          <w:ilvl w:val="0"/>
          <w:numId w:val="1"/>
        </w:numPr>
        <w:spacing w:after="100"/>
      </w:pPr>
      <w:r>
        <w:t xml:space="preserve">RMSE</w:t>
      </w:r>
    </w:p>
    <w:p>
      <w:pPr>
        <w:pStyle w:val="ListParagraph"/>
        <w:numPr>
          <w:ilvl w:val="0"/>
          <w:numId w:val="1"/>
        </w:numPr>
        <w:spacing w:after="100"/>
      </w:pPr>
      <w:r>
        <w:t xml:space="preserve">Prediction Stability</w:t>
      </w:r>
    </w:p>
    <w:p>
      <w:pPr>
        <w:pStyle w:val="ListParagraph"/>
        <w:numPr>
          <w:ilvl w:val="0"/>
          <w:numId w:val="1"/>
        </w:numPr>
        <w:spacing w:after="100"/>
      </w:pPr>
      <w:r>
        <w:t xml:space="preserve">Directional Bias</w:t>
      </w:r>
    </w:p>
    <w:p>
      <w:pPr>
        <w:spacing w:after="200"/>
      </w:pPr>
      <w:r>
        <w:rPr>
          <w:b/>
          <w:bCs/>
        </w:rPr>
        <w:t xml:space="preserve">Component Two — Temporal Explainability Framework</w:t>
      </w:r>
    </w:p>
    <w:p>
      <w:pPr>
        <w:spacing w:after="200"/>
      </w:pPr>
      <w:r>
        <w:t xml:space="preserve">Answers:</w:t>
      </w:r>
    </w:p>
    <w:p>
      <w:pPr>
        <w:pBdr>
          <w:left w:val="single" w:color="4472C4" w:sz="18" w:space="8"/>
        </w:pBdr>
        <w:spacing w:after="200" w:before="150"/>
        <w:ind w:left="576"/>
      </w:pPr>
      <w:r>
        <w:rPr>
          <w:i/>
          <w:iCs/>
        </w:rPr>
        <w:t xml:space="preserve">Why do predictions become trustworthy?</w:t>
      </w:r>
    </w:p>
    <w:p>
      <w:pPr>
        <w:spacing w:after="200"/>
      </w:pPr>
      <w:r>
        <w:t xml:space="preserve">using:</w:t>
      </w:r>
    </w:p>
    <w:p>
      <w:pPr>
        <w:pStyle w:val="ListParagraph"/>
        <w:numPr>
          <w:ilvl w:val="0"/>
          <w:numId w:val="1"/>
        </w:numPr>
        <w:spacing w:after="100"/>
      </w:pPr>
      <w:r>
        <w:t xml:space="preserve">Semester GPA evolution</w:t>
      </w:r>
    </w:p>
    <w:p>
      <w:pPr>
        <w:pStyle w:val="ListParagraph"/>
        <w:numPr>
          <w:ilvl w:val="0"/>
          <w:numId w:val="1"/>
        </w:numPr>
        <w:spacing w:after="100"/>
      </w:pPr>
      <w:r>
        <w:t xml:space="preserve">Module performance</w:t>
      </w:r>
    </w:p>
    <w:p>
      <w:pPr>
        <w:pStyle w:val="ListParagraph"/>
        <w:numPr>
          <w:ilvl w:val="0"/>
          <w:numId w:val="1"/>
        </w:numPr>
        <w:spacing w:after="100"/>
      </w:pPr>
      <w:r>
        <w:t xml:space="preserve">Demographic characteristics</w:t>
      </w:r>
    </w:p>
    <w:p>
      <w:pPr>
        <w:pStyle w:val="ListParagraph"/>
        <w:numPr>
          <w:ilvl w:val="0"/>
          <w:numId w:val="1"/>
        </w:numPr>
        <w:spacing w:after="100"/>
      </w:pPr>
      <w:r>
        <w:t xml:space="preserve">Pre-academic achievement</w:t>
      </w:r>
    </w:p>
    <w:p>
      <w:pPr>
        <w:pStyle w:val="ListParagraph"/>
        <w:numPr>
          <w:ilvl w:val="0"/>
          <w:numId w:val="1"/>
        </w:numPr>
        <w:spacing w:after="100"/>
      </w:pPr>
      <w:r>
        <w:t xml:space="preserve">Linear SHAP</w:t>
      </w:r>
    </w:p>
    <w:p>
      <w:pPr>
        <w:spacing w:after="200"/>
      </w:pPr>
      <w:r>
        <w:rPr>
          <w:b/>
          <w:bCs/>
        </w:rPr>
        <w:t xml:space="preserve">Integration</w:t>
      </w:r>
    </w:p>
    <w:p>
      <w:pPr>
        <w:spacing w:after="200"/>
      </w:pPr>
      <w:r>
        <w:t xml:space="preserve">Together the framework answers:</w:t>
      </w:r>
    </w:p>
    <w:p>
      <w:pPr>
        <w:pBdr>
          <w:left w:val="single" w:color="4472C4" w:sz="18" w:space="8"/>
        </w:pBdr>
        <w:spacing w:after="200" w:before="150"/>
        <w:ind w:left="576"/>
      </w:pPr>
      <w:r>
        <w:rPr>
          <w:i/>
          <w:iCs/>
        </w:rPr>
        <w:t xml:space="preserve">How should universities responsibly use GPA predictions throughout a student's academic journey?</w:t>
      </w:r>
    </w:p>
    <w:p>
      <w:pPr>
        <w:pStyle w:val="Heading2"/>
        <w:spacing w:after="150" w:before="300"/>
      </w:pPr>
      <w:r>
        <w:t xml:space="preserve">Problem Statement</w:t>
      </w:r>
    </w:p>
    <w:p>
      <w:pPr>
        <w:spacing w:after="200"/>
      </w:pPr>
      <w:r>
        <w:t xml:space="preserve">Student performance prediction has become one of the most extensively studied topics within educational data mining and learning analytics. Universities increasingly utilise predictive models to identify students who may benefit from academic support before poor academic outcomes become irreversible.</w:t>
      </w:r>
    </w:p>
    <w:p>
      <w:pPr>
        <w:spacing w:after="200"/>
      </w:pPr>
      <w:r>
        <w:t xml:space="preserve">Despite significant advances in predictive modelling, the majority of existing research continues to focus on maximising predictive accuracy through increasingly sophisticated machine learning techniques. Comparative evaluations frequently emphasise which algorithm achieves the lowest prediction error while paying comparatively little attention to whether the resulting predictions are sufficiently reliable for educational decision-making.</w:t>
      </w:r>
    </w:p>
    <w:p>
      <w:pPr>
        <w:spacing w:after="200"/>
      </w:pPr>
      <w:r>
        <w:t xml:space="preserve">Educational interventions require substantially more than accurate predictions. Advisors and programme coordinators must also understand prediction consistency, systematic bias, and the educational factors driving model outputs.</w:t>
      </w:r>
    </w:p>
    <w:p>
      <w:pPr>
        <w:spacing w:after="200"/>
      </w:pPr>
      <w:r>
        <w:t xml:space="preserve">Accordingly, this research shifts the emphasis from predictive performance towards prediction trustworthiness.</w:t>
      </w:r>
    </w:p>
    <w:p>
      <w:pPr>
        <w:pStyle w:val="Heading2"/>
        <w:spacing w:after="150" w:before="300"/>
      </w:pPr>
      <w:r>
        <w:t xml:space="preserve">Research Gap</w:t>
      </w:r>
    </w:p>
    <w:p>
      <w:pPr>
        <w:spacing w:after="200"/>
      </w:pPr>
      <w:r>
        <w:t xml:space="preserve">This research identifies five important gaps in the current literature:</w:t>
      </w:r>
    </w:p>
    <w:p>
      <w:pPr>
        <w:pStyle w:val="ListParagraph"/>
        <w:numPr>
          <w:ilvl w:val="0"/>
          <w:numId w:val="2"/>
        </w:numPr>
        <w:spacing w:after="100"/>
      </w:pPr>
      <w:r>
        <w:t xml:space="preserve">Overemphasis on algorithm comparison rather than prediction reliability.</w:t>
      </w:r>
    </w:p>
    <w:p>
      <w:pPr>
        <w:pStyle w:val="ListParagraph"/>
        <w:numPr>
          <w:ilvl w:val="0"/>
          <w:numId w:val="2"/>
        </w:numPr>
        <w:spacing w:after="100"/>
      </w:pPr>
      <w:r>
        <w:t xml:space="preserve">Heavy reliance on conventional accuracy metrics with limited assessment of stability.</w:t>
      </w:r>
    </w:p>
    <w:p>
      <w:pPr>
        <w:pStyle w:val="ListParagraph"/>
        <w:numPr>
          <w:ilvl w:val="0"/>
          <w:numId w:val="2"/>
        </w:numPr>
        <w:spacing w:after="100"/>
      </w:pPr>
      <w:r>
        <w:t xml:space="preserve">Limited investigation of reliability across student performance groups.</w:t>
      </w:r>
    </w:p>
    <w:p>
      <w:pPr>
        <w:pStyle w:val="ListParagraph"/>
        <w:numPr>
          <w:ilvl w:val="0"/>
          <w:numId w:val="2"/>
        </w:numPr>
        <w:spacing w:after="100"/>
      </w:pPr>
      <w:r>
        <w:t xml:space="preserve">Explainability studies focus on feature importance rather than temporal evolution.</w:t>
      </w:r>
    </w:p>
    <w:p>
      <w:pPr>
        <w:pStyle w:val="ListParagraph"/>
        <w:numPr>
          <w:ilvl w:val="0"/>
          <w:numId w:val="2"/>
        </w:numPr>
        <w:spacing w:after="100"/>
      </w:pPr>
      <w:r>
        <w:t xml:space="preserve">Lack of integrated frameworks connecting reliability, explainability, and educational intervention.</w:t>
      </w:r>
    </w:p>
    <w:p>
      <w:pPr>
        <w:pStyle w:val="Heading2"/>
        <w:spacing w:after="150" w:before="300"/>
      </w:pPr>
      <w:r>
        <w:t xml:space="preserve">Research Objectives</w:t>
      </w:r>
    </w:p>
    <w:p>
      <w:pPr>
        <w:pStyle w:val="Heading3"/>
        <w:spacing w:after="120" w:before="200"/>
      </w:pPr>
      <w:r>
        <w:t xml:space="preserve">Primary Objective</w:t>
      </w:r>
    </w:p>
    <w:p>
      <w:pPr>
        <w:spacing w:after="200"/>
      </w:pPr>
      <w:r>
        <w:t xml:space="preserve">Develop and evaluate a Trustworthy Learning Analytics Group-aware Framework that supports responsible educational decision-making by identifying when GPA predictions become trustworthy, explaining why prediction reliability evolves over time, and demonstrating how prediction confidence should guide academic interventions.</w:t>
      </w:r>
    </w:p>
    <w:p>
      <w:pPr>
        <w:pStyle w:val="Heading3"/>
        <w:spacing w:after="120" w:before="200"/>
      </w:pPr>
      <w:r>
        <w:t xml:space="preserve">Specific Objectives</w:t>
      </w:r>
    </w:p>
    <w:p>
      <w:pPr>
        <w:pStyle w:val="ListParagraph"/>
        <w:numPr>
          <w:ilvl w:val="0"/>
          <w:numId w:val="2"/>
        </w:numPr>
        <w:spacing w:after="100"/>
      </w:pPr>
      <w:r>
        <w:t xml:space="preserve">Identify the earliest semester at which final GPA predictions become sufficiently reliable after jointly considering prediction accuracy, prediction stability, and systematic directional bias.</w:t>
      </w:r>
    </w:p>
    <w:p>
      <w:pPr>
        <w:pStyle w:val="ListParagraph"/>
        <w:numPr>
          <w:ilvl w:val="0"/>
          <w:numId w:val="2"/>
        </w:numPr>
        <w:spacing w:after="100"/>
      </w:pPr>
      <w:r>
        <w:t xml:space="preserve">Investigate how the explanatory importance of semester GPAs, module grades, demographic characteristics, and pre-academic factors evolves using Linear SHAP.</w:t>
      </w:r>
    </w:p>
    <w:p>
      <w:pPr>
        <w:pStyle w:val="ListParagraph"/>
        <w:numPr>
          <w:ilvl w:val="0"/>
          <w:numId w:val="2"/>
        </w:numPr>
        <w:spacing w:after="100"/>
      </w:pPr>
      <w:r>
        <w:t xml:space="preserve">Identify early academic indicators associated with future underperformance.</w:t>
      </w:r>
    </w:p>
    <w:p>
      <w:pPr>
        <w:pStyle w:val="ListParagraph"/>
        <w:numPr>
          <w:ilvl w:val="0"/>
          <w:numId w:val="2"/>
        </w:numPr>
        <w:spacing w:after="100"/>
      </w:pPr>
      <w:r>
        <w:t xml:space="preserve">Develop educational guidance describing intervention strategies corresponding to different levels of prediction confidence.</w:t>
      </w:r>
    </w:p>
    <w:p>
      <w:pPr>
        <w:pStyle w:val="Heading2"/>
        <w:spacing w:after="150" w:before="300"/>
      </w:pPr>
      <w:r>
        <w:t xml:space="preserve">Expected Contributions</w:t>
      </w:r>
    </w:p>
    <w:p>
      <w:pPr>
        <w:spacing w:after="200"/>
      </w:pPr>
      <w:r>
        <w:t xml:space="preserve">This research contributes by:</w:t>
      </w:r>
    </w:p>
    <w:p>
      <w:pPr>
        <w:pStyle w:val="ListParagraph"/>
        <w:numPr>
          <w:ilvl w:val="0"/>
          <w:numId w:val="1"/>
        </w:numPr>
        <w:spacing w:after="100"/>
      </w:pPr>
      <w:r>
        <w:t xml:space="preserve">Introducing a reliability-based perspective beyond conventional accuracy metrics.</w:t>
      </w:r>
    </w:p>
    <w:p>
      <w:pPr>
        <w:pStyle w:val="ListParagraph"/>
        <w:numPr>
          <w:ilvl w:val="0"/>
          <w:numId w:val="1"/>
        </w:numPr>
        <w:spacing w:after="100"/>
      </w:pPr>
      <w:r>
        <w:t xml:space="preserve">Providing a temporal explainability framework describing how academic indicators evolve.</w:t>
      </w:r>
    </w:p>
    <w:p>
      <w:pPr>
        <w:pStyle w:val="ListParagraph"/>
        <w:numPr>
          <w:ilvl w:val="0"/>
          <w:numId w:val="1"/>
        </w:numPr>
        <w:spacing w:after="100"/>
      </w:pPr>
      <w:r>
        <w:t xml:space="preserve">Integrating prediction reliability with educational decision-making.</w:t>
      </w:r>
    </w:p>
    <w:p>
      <w:pPr>
        <w:pStyle w:val="ListParagraph"/>
        <w:numPr>
          <w:ilvl w:val="0"/>
          <w:numId w:val="1"/>
        </w:numPr>
        <w:spacing w:after="100"/>
      </w:pPr>
      <w:r>
        <w:t xml:space="preserve">Demonstrating that transparent regression models can generate meaningful educational insights without requiring complex black-box models.</w:t>
      </w:r>
    </w:p>
    <w:p>
      <w:pPr>
        <w:pStyle w:val="Heading2"/>
        <w:spacing w:after="150" w:before="300"/>
      </w:pPr>
      <w:r>
        <w:t xml:space="preserve">Notes for Future Versions</w:t>
      </w:r>
    </w:p>
    <w:p>
      <w:pPr>
        <w:spacing w:after="200"/>
      </w:pPr>
      <w:r>
        <w:t xml:space="preserve">Future sections will include:</w:t>
      </w:r>
    </w:p>
    <w:p>
      <w:pPr>
        <w:pStyle w:val="ListParagraph"/>
        <w:numPr>
          <w:ilvl w:val="0"/>
          <w:numId w:val="1"/>
        </w:numPr>
        <w:spacing w:after="100"/>
      </w:pPr>
      <w:r>
        <w:t xml:space="preserve">Comprehensive literature review</w:t>
      </w:r>
    </w:p>
    <w:p>
      <w:pPr>
        <w:pStyle w:val="ListParagraph"/>
        <w:numPr>
          <w:ilvl w:val="0"/>
          <w:numId w:val="1"/>
        </w:numPr>
        <w:spacing w:after="100"/>
      </w:pPr>
      <w:r>
        <w:t xml:space="preserve">Methodology</w:t>
      </w:r>
    </w:p>
    <w:p>
      <w:pPr>
        <w:pStyle w:val="ListParagraph"/>
        <w:numPr>
          <w:ilvl w:val="0"/>
          <w:numId w:val="1"/>
        </w:numPr>
        <w:spacing w:after="100"/>
      </w:pPr>
      <w:r>
        <w:t xml:space="preserve">Experimental protocols</w:t>
      </w:r>
    </w:p>
    <w:p>
      <w:pPr>
        <w:pStyle w:val="ListParagraph"/>
        <w:numPr>
          <w:ilvl w:val="0"/>
          <w:numId w:val="1"/>
        </w:numPr>
        <w:spacing w:after="100"/>
      </w:pPr>
      <w:r>
        <w:t xml:space="preserve">SHAP analysis plan</w:t>
      </w:r>
    </w:p>
    <w:p>
      <w:pPr>
        <w:pStyle w:val="ListParagraph"/>
        <w:numPr>
          <w:ilvl w:val="0"/>
          <w:numId w:val="1"/>
        </w:numPr>
        <w:spacing w:after="100"/>
      </w:pPr>
      <w:r>
        <w:t xml:space="preserve">Figure and table roadmap</w:t>
      </w:r>
    </w:p>
    <w:p>
      <w:pPr>
        <w:pStyle w:val="ListParagraph"/>
        <w:numPr>
          <w:ilvl w:val="0"/>
          <w:numId w:val="1"/>
        </w:numPr>
        <w:spacing w:after="100"/>
      </w:pPr>
      <w:r>
        <w:t xml:space="preserve">IEEE TALE writing blueprint</w:t>
      </w:r>
    </w:p>
    <w:p>
      <w:pPr>
        <w:pStyle w:val="ListParagraph"/>
        <w:numPr>
          <w:ilvl w:val="0"/>
          <w:numId w:val="1"/>
        </w:numPr>
        <w:spacing w:after="100"/>
      </w:pPr>
      <w:r>
        <w:t xml:space="preserve">Reviewer response strategy</w:t>
      </w:r>
    </w:p>
    <w:p>
      <w:pPr>
        <w:pStyle w:val="Heading2"/>
        <w:spacing w:after="150" w:before="300"/>
      </w:pPr>
      <w:r>
        <w:t xml:space="preserve">Design Note</w:t>
      </w:r>
    </w:p>
    <w:p>
      <w:pPr>
        <w:spacing w:after="200"/>
      </w:pPr>
      <w:r>
        <w:t xml:space="preserve">The framework is built around three pillars:</w:t>
      </w:r>
    </w:p>
    <w:p>
      <w:pPr>
        <w:pStyle w:val="ListParagraph"/>
        <w:numPr>
          <w:ilvl w:val="0"/>
          <w:numId w:val="2"/>
        </w:numPr>
        <w:spacing w:after="100"/>
      </w:pPr>
      <w:r>
        <w:t xml:space="preserve">Trustworthy Prediction — When can predictions be trusted?</w:t>
      </w:r>
    </w:p>
    <w:p>
      <w:pPr>
        <w:pStyle w:val="ListParagraph"/>
        <w:numPr>
          <w:ilvl w:val="0"/>
          <w:numId w:val="2"/>
        </w:numPr>
        <w:spacing w:after="100"/>
      </w:pPr>
      <w:r>
        <w:t xml:space="preserve">Temporal Explainability — Why do predictions become trustworthy?</w:t>
      </w:r>
    </w:p>
    <w:p>
      <w:pPr>
        <w:pStyle w:val="ListParagraph"/>
        <w:numPr>
          <w:ilvl w:val="0"/>
          <w:numId w:val="2"/>
        </w:numPr>
        <w:spacing w:after="100"/>
      </w:pPr>
      <w:r>
        <w:t xml:space="preserve">Responsible Educational Action — How should institutions act on predictions with different confidence levels?</w:t>
      </w:r>
    </w:p>
    <w:p>
      <w:pPr>
        <w:spacing w:after="200"/>
      </w:pPr>
      <w:r>
        <w:t xml:space="preserve">These three pillars will underpin the remainder of the research strategy document and the IEEE TALE paper.</w:t>
      </w:r>
    </w:p>
    <w:p>
      <w:pPr>
        <w:pageBreakBefore/>
      </w:pPr>
    </w:p>
    <w:p>
      <w:pPr>
        <w:spacing w:after="100"/>
      </w:pPr>
      <w:r>
        <w:rPr>
          <w:b/>
          <w:bCs/>
          <w:color w:val="4472C4"/>
          <w:sz w:val="20"/>
          <w:szCs w:val="20"/>
        </w:rPr>
        <w:t xml:space="preserve">PART B</w:t>
      </w:r>
    </w:p>
    <w:p>
      <w:pPr>
        <w:pStyle w:val="Heading1"/>
        <w:spacing w:after="200" w:before="400"/>
      </w:pPr>
      <w:r>
        <w:t xml:space="preserve">Part B — Research Framework, Methodology &amp; Educational Decision Framework</w:t>
      </w:r>
    </w:p>
    <w:p>
      <w:pPr>
        <w:pStyle w:val="Heading2"/>
        <w:spacing w:after="150" w:before="300"/>
      </w:pPr>
      <w:r>
        <w:t xml:space="preserve">Part B Overview</w:t>
      </w:r>
    </w:p>
    <w:p>
      <w:pPr>
        <w:spacing w:after="200"/>
      </w:pPr>
      <w:r>
        <w:t xml:space="preserve">This section translates the research vision established in Part A into an executable research methodology. Rather than describing isolated experiments, it presents an integrated framework linking prediction reliability, explainability, and educational decision-making.</w:t>
      </w:r>
    </w:p>
    <w:p>
      <w:pPr>
        <w:pStyle w:val="Heading2"/>
        <w:spacing w:after="150" w:before="300"/>
      </w:pPr>
      <w:r>
        <w:t xml:space="preserve">1. Overall Research Framework</w:t>
      </w:r>
    </w:p>
    <w:p>
      <w:pPr>
        <w:pStyle w:val="Heading3"/>
        <w:spacing w:after="120" w:before="200"/>
      </w:pPr>
      <w:r>
        <w:t xml:space="preserve">Framework Philosophy</w:t>
      </w:r>
    </w:p>
    <w:p>
      <w:pPr>
        <w:spacing w:after="200"/>
      </w:pPr>
      <w:r>
        <w:t xml:space="preserve">This research adopts a Trustworthy Learning Analytics perspective rather than a conventional predictive modelling perspective.</w:t>
      </w:r>
    </w:p>
    <w:p>
      <w:pPr>
        <w:spacing w:after="200"/>
      </w:pPr>
      <w:r>
        <w:t xml:space="preserve">Traditional workflow:</w:t>
      </w:r>
    </w:p>
    <w:p>
      <w:pPr>
        <w:shd w:fill="F2F2F2" w:val="clear"/>
        <w:spacing w:after="0"/>
      </w:pPr>
      <w:r>
        <w:rPr>
          <w:rFonts w:ascii="Consolas" w:cs="Consolas" w:eastAsia="Consolas" w:hAnsi="Consolas"/>
          <w:sz w:val="20"/>
          <w:szCs w:val="20"/>
        </w:rPr>
        <w:t xml:space="preserve">Dataset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Train Models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Compare Accuracy</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Best Model</w:t>
      </w:r>
    </w:p>
    <w:p>
      <w:pPr>
        <w:spacing w:after="150"/>
      </w:pPr>
    </w:p>
    <w:p>
      <w:pPr>
        <w:spacing w:after="200"/>
      </w:pPr>
      <w:r>
        <w:t xml:space="preserve">Proposed workflow:</w:t>
      </w:r>
    </w:p>
    <w:p>
      <w:pPr>
        <w:shd w:fill="F2F2F2" w:val="clear"/>
        <w:spacing w:after="0"/>
      </w:pPr>
      <w:r>
        <w:rPr>
          <w:rFonts w:ascii="Consolas" w:cs="Consolas" w:eastAsia="Consolas" w:hAnsi="Consolas"/>
          <w:sz w:val="20"/>
          <w:szCs w:val="20"/>
        </w:rPr>
        <w:t xml:space="preserve">Student Academic Data</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Prediction Reliability Analysis (RQ1)</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Temporal Explainability Analysis (RQ2)</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Educational Decision Support Framework</w:t>
      </w:r>
    </w:p>
    <w:p>
      <w:pPr>
        <w:spacing w:after="150"/>
      </w:pPr>
    </w:p>
    <w:p>
      <w:pPr>
        <w:spacing w:after="200"/>
      </w:pPr>
      <w:r>
        <w:t xml:space="preserve">Prediction models become one component within a broader decision-support process rather than the final outcome.</w:t>
      </w:r>
    </w:p>
    <w:p>
      <w:pPr>
        <w:pStyle w:val="Heading2"/>
        <w:spacing w:after="150" w:before="300"/>
      </w:pPr>
      <w:r>
        <w:t xml:space="preserve">2. Relationship Between Research Questions</w:t>
      </w:r>
    </w:p>
    <w:p>
      <w:pPr>
        <w:pStyle w:val="Heading3"/>
        <w:spacing w:after="120" w:before="200"/>
      </w:pPr>
      <w:r>
        <w:t xml:space="preserve">RQ1 — Prediction Reliability</w:t>
      </w:r>
    </w:p>
    <w:p>
      <w:pPr>
        <w:spacing w:after="200"/>
      </w:pPr>
      <w:r>
        <w:rPr>
          <w:b/>
          <w:bCs/>
        </w:rPr>
        <w:t xml:space="preserve">Purpose</w:t>
      </w:r>
    </w:p>
    <w:p>
      <w:pPr>
        <w:spacing w:after="200"/>
      </w:pPr>
      <w:r>
        <w:t xml:space="preserve">Determine the earliest semester at which final GPA predictions become sufficiently reliable.</w:t>
      </w:r>
    </w:p>
    <w:p>
      <w:pPr>
        <w:spacing w:after="200"/>
      </w:pPr>
      <w:r>
        <w:rPr>
          <w:b/>
          <w:bCs/>
        </w:rPr>
        <w:t xml:space="preserve">Features</w:t>
      </w:r>
    </w:p>
    <w:p>
      <w:pPr>
        <w:pStyle w:val="ListParagraph"/>
        <w:numPr>
          <w:ilvl w:val="0"/>
          <w:numId w:val="1"/>
        </w:numPr>
        <w:spacing w:after="100"/>
      </w:pPr>
      <w:r>
        <w:t xml:space="preserve">Semester GPAs</w:t>
      </w:r>
    </w:p>
    <w:p>
      <w:pPr>
        <w:pStyle w:val="ListParagraph"/>
        <w:numPr>
          <w:ilvl w:val="0"/>
          <w:numId w:val="1"/>
        </w:numPr>
        <w:spacing w:after="100"/>
      </w:pPr>
      <w:r>
        <w:t xml:space="preserve">Demographic variables</w:t>
      </w:r>
    </w:p>
    <w:p>
      <w:pPr>
        <w:pStyle w:val="ListParagraph"/>
        <w:numPr>
          <w:ilvl w:val="0"/>
          <w:numId w:val="1"/>
        </w:numPr>
        <w:spacing w:after="100"/>
      </w:pPr>
      <w:r>
        <w:t xml:space="preserve">Pre-university academic indicators</w:t>
      </w:r>
    </w:p>
    <w:p>
      <w:pPr>
        <w:spacing w:after="200"/>
      </w:pPr>
      <w:r>
        <w:rPr>
          <w:b/>
          <w:bCs/>
        </w:rPr>
        <w:t xml:space="preserve">Output</w:t>
      </w:r>
    </w:p>
    <w:p>
      <w:pPr>
        <w:spacing w:after="200"/>
      </w:pPr>
      <w:r>
        <w:t xml:space="preserve">Semester-wise prediction reliability profile.</w:t>
      </w:r>
    </w:p>
    <w:p>
      <w:pPr>
        <w:pStyle w:val="Heading3"/>
        <w:spacing w:after="120" w:before="200"/>
      </w:pPr>
      <w:r>
        <w:t xml:space="preserve">RQ2 — Temporal Explainability</w:t>
      </w:r>
    </w:p>
    <w:p>
      <w:pPr>
        <w:spacing w:after="200"/>
      </w:pPr>
      <w:r>
        <w:rPr>
          <w:b/>
          <w:bCs/>
        </w:rPr>
        <w:t xml:space="preserve">Purpose</w:t>
      </w:r>
    </w:p>
    <w:p>
      <w:pPr>
        <w:spacing w:after="200"/>
      </w:pPr>
      <w:r>
        <w:t xml:space="preserve">Explain why prediction reliability improves over time.</w:t>
      </w:r>
    </w:p>
    <w:p>
      <w:pPr>
        <w:spacing w:after="200"/>
      </w:pPr>
      <w:r>
        <w:rPr>
          <w:b/>
          <w:bCs/>
        </w:rPr>
        <w:t xml:space="preserve">Features</w:t>
      </w:r>
    </w:p>
    <w:p>
      <w:pPr>
        <w:pStyle w:val="ListParagraph"/>
        <w:numPr>
          <w:ilvl w:val="0"/>
          <w:numId w:val="1"/>
        </w:numPr>
        <w:spacing w:after="100"/>
      </w:pPr>
      <w:r>
        <w:t xml:space="preserve">Semester GPAs</w:t>
      </w:r>
    </w:p>
    <w:p>
      <w:pPr>
        <w:pStyle w:val="ListParagraph"/>
        <w:numPr>
          <w:ilvl w:val="0"/>
          <w:numId w:val="1"/>
        </w:numPr>
        <w:spacing w:after="100"/>
      </w:pPr>
      <w:r>
        <w:t xml:space="preserve">Module grades</w:t>
      </w:r>
    </w:p>
    <w:p>
      <w:pPr>
        <w:pStyle w:val="ListParagraph"/>
        <w:numPr>
          <w:ilvl w:val="0"/>
          <w:numId w:val="1"/>
        </w:numPr>
        <w:spacing w:after="100"/>
      </w:pPr>
      <w:r>
        <w:t xml:space="preserve">Demographic variables</w:t>
      </w:r>
    </w:p>
    <w:p>
      <w:pPr>
        <w:pStyle w:val="ListParagraph"/>
        <w:numPr>
          <w:ilvl w:val="0"/>
          <w:numId w:val="1"/>
        </w:numPr>
        <w:spacing w:after="100"/>
      </w:pPr>
      <w:r>
        <w:t xml:space="preserve">Pre-university academic indicators</w:t>
      </w:r>
    </w:p>
    <w:p>
      <w:pPr>
        <w:spacing w:after="200"/>
      </w:pPr>
      <w:r>
        <w:rPr>
          <w:b/>
          <w:bCs/>
        </w:rPr>
        <w:t xml:space="preserve">Output</w:t>
      </w:r>
    </w:p>
    <w:p>
      <w:pPr>
        <w:spacing w:after="200"/>
      </w:pPr>
      <w:r>
        <w:t xml:space="preserve">Temporal feature importance and early academic risk indicators.</w:t>
      </w:r>
    </w:p>
    <w:p>
      <w:pPr>
        <w:pStyle w:val="Heading3"/>
        <w:spacing w:after="120" w:before="200"/>
      </w:pPr>
      <w:r>
        <w:t xml:space="preserve">Integration</w:t>
      </w:r>
    </w:p>
    <w:p>
      <w:pPr>
        <w:pStyle w:val="ListParagraph"/>
        <w:numPr>
          <w:ilvl w:val="0"/>
          <w:numId w:val="1"/>
        </w:numPr>
        <w:spacing w:after="100"/>
      </w:pPr>
      <w:r>
        <w:t xml:space="preserve">RQ1: When can predictions be trusted?</w:t>
      </w:r>
    </w:p>
    <w:p>
      <w:pPr>
        <w:pStyle w:val="ListParagraph"/>
        <w:numPr>
          <w:ilvl w:val="0"/>
          <w:numId w:val="1"/>
        </w:numPr>
        <w:spacing w:after="100"/>
      </w:pPr>
      <w:r>
        <w:t xml:space="preserve">RQ2: Why do predictions become trustworthy?</w:t>
      </w:r>
    </w:p>
    <w:p>
      <w:pPr>
        <w:pStyle w:val="ListParagraph"/>
        <w:numPr>
          <w:ilvl w:val="0"/>
          <w:numId w:val="1"/>
        </w:numPr>
        <w:spacing w:after="100"/>
      </w:pPr>
      <w:r>
        <w:t xml:space="preserve">Framework: How should institutions use these predictions responsibly?</w:t>
      </w:r>
    </w:p>
    <w:p>
      <w:pPr>
        <w:pStyle w:val="Heading2"/>
        <w:spacing w:after="150" w:before="300"/>
      </w:pPr>
      <w:r>
        <w:t xml:space="preserve">3. Overall Research Workflow</w:t>
      </w:r>
    </w:p>
    <w:p>
      <w:pPr>
        <w:pStyle w:val="ListParagraph"/>
        <w:numPr>
          <w:ilvl w:val="0"/>
          <w:numId w:val="2"/>
        </w:numPr>
        <w:spacing w:after="100"/>
      </w:pPr>
      <w:r>
        <w:t xml:space="preserve">Data acquisition</w:t>
      </w:r>
    </w:p>
    <w:p>
      <w:pPr>
        <w:pStyle w:val="ListParagraph"/>
        <w:numPr>
          <w:ilvl w:val="0"/>
          <w:numId w:val="2"/>
        </w:numPr>
        <w:spacing w:after="100"/>
      </w:pPr>
      <w:r>
        <w:t xml:space="preserve">Exploratory data analysis</w:t>
      </w:r>
    </w:p>
    <w:p>
      <w:pPr>
        <w:pStyle w:val="ListParagraph"/>
        <w:numPr>
          <w:ilvl w:val="0"/>
          <w:numId w:val="2"/>
        </w:numPr>
        <w:spacing w:after="100"/>
      </w:pPr>
      <w:r>
        <w:t xml:space="preserve">Data preprocessing</w:t>
      </w:r>
    </w:p>
    <w:p>
      <w:pPr>
        <w:pStyle w:val="ListParagraph"/>
        <w:numPr>
          <w:ilvl w:val="0"/>
          <w:numId w:val="2"/>
        </w:numPr>
        <w:spacing w:after="100"/>
      </w:pPr>
      <w:r>
        <w:t xml:space="preserve">Feature engineering</w:t>
      </w:r>
    </w:p>
    <w:p>
      <w:pPr>
        <w:pStyle w:val="ListParagraph"/>
        <w:numPr>
          <w:ilvl w:val="0"/>
          <w:numId w:val="2"/>
        </w:numPr>
        <w:spacing w:after="100"/>
      </w:pPr>
      <w:r>
        <w:t xml:space="preserve">Model training</w:t>
      </w:r>
    </w:p>
    <w:p>
      <w:pPr>
        <w:pStyle w:val="ListParagraph"/>
        <w:numPr>
          <w:ilvl w:val="0"/>
          <w:numId w:val="2"/>
        </w:numPr>
        <w:spacing w:after="100"/>
      </w:pPr>
      <w:r>
        <w:t xml:space="preserve">Prediction reliability analysis</w:t>
      </w:r>
    </w:p>
    <w:p>
      <w:pPr>
        <w:pStyle w:val="ListParagraph"/>
        <w:numPr>
          <w:ilvl w:val="0"/>
          <w:numId w:val="2"/>
        </w:numPr>
        <w:spacing w:after="100"/>
      </w:pPr>
      <w:r>
        <w:t xml:space="preserve">SHAP explainability analysis</w:t>
      </w:r>
    </w:p>
    <w:p>
      <w:pPr>
        <w:pStyle w:val="ListParagraph"/>
        <w:numPr>
          <w:ilvl w:val="0"/>
          <w:numId w:val="2"/>
        </w:numPr>
        <w:spacing w:after="100"/>
      </w:pPr>
      <w:r>
        <w:t xml:space="preserve">Educational interpretation</w:t>
      </w:r>
    </w:p>
    <w:p>
      <w:pPr>
        <w:pStyle w:val="Heading2"/>
        <w:spacing w:after="150" w:before="300"/>
      </w:pPr>
      <w:r>
        <w:t xml:space="preserve">4. Feature Engineering Strategy</w:t>
      </w:r>
    </w:p>
    <w:p>
      <w:pPr>
        <w:pStyle w:val="Heading3"/>
        <w:spacing w:after="120" w:before="200"/>
      </w:pPr>
      <w:r>
        <w:t xml:space="preserve">RQ1 Feature Set</w:t>
      </w:r>
    </w:p>
    <w:p>
      <w:pPr>
        <w:pStyle w:val="ListParagraph"/>
        <w:numPr>
          <w:ilvl w:val="0"/>
          <w:numId w:val="1"/>
        </w:numPr>
        <w:spacing w:after="100"/>
      </w:pPr>
      <w:r>
        <w:t xml:space="preserve">Semester GPA</w:t>
      </w:r>
    </w:p>
    <w:p>
      <w:pPr>
        <w:pStyle w:val="ListParagraph"/>
        <w:numPr>
          <w:ilvl w:val="0"/>
          <w:numId w:val="1"/>
        </w:numPr>
        <w:spacing w:after="100"/>
      </w:pPr>
      <w:r>
        <w:t xml:space="preserve">Gender</w:t>
      </w:r>
    </w:p>
    <w:p>
      <w:pPr>
        <w:pStyle w:val="ListParagraph"/>
        <w:numPr>
          <w:ilvl w:val="0"/>
          <w:numId w:val="1"/>
        </w:numPr>
        <w:spacing w:after="100"/>
      </w:pPr>
      <w:r>
        <w:t xml:space="preserve">District</w:t>
      </w:r>
    </w:p>
    <w:p>
      <w:pPr>
        <w:pStyle w:val="ListParagraph"/>
        <w:numPr>
          <w:ilvl w:val="0"/>
          <w:numId w:val="1"/>
        </w:numPr>
        <w:spacing w:after="100"/>
      </w:pPr>
      <w:r>
        <w:t xml:space="preserve">Province</w:t>
      </w:r>
    </w:p>
    <w:p>
      <w:pPr>
        <w:pStyle w:val="ListParagraph"/>
        <w:numPr>
          <w:ilvl w:val="0"/>
          <w:numId w:val="1"/>
        </w:numPr>
        <w:spacing w:after="100"/>
      </w:pPr>
      <w:r>
        <w:t xml:space="preserve">Z-score</w:t>
      </w:r>
    </w:p>
    <w:p>
      <w:pPr>
        <w:pStyle w:val="ListParagraph"/>
        <w:numPr>
          <w:ilvl w:val="0"/>
          <w:numId w:val="1"/>
        </w:numPr>
        <w:spacing w:after="100"/>
      </w:pPr>
      <w:r>
        <w:t xml:space="preserve">English (if retained)</w:t>
      </w:r>
    </w:p>
    <w:p>
      <w:pPr>
        <w:pStyle w:val="ListParagraph"/>
        <w:numPr>
          <w:ilvl w:val="0"/>
          <w:numId w:val="1"/>
        </w:numPr>
        <w:spacing w:after="100"/>
      </w:pPr>
      <w:r>
        <w:t xml:space="preserve">Other demographic variables</w:t>
      </w:r>
    </w:p>
    <w:p>
      <w:pPr>
        <w:spacing w:after="200"/>
      </w:pPr>
      <w:r>
        <w:t xml:space="preserve">Focus: information routinely available after each semester.</w:t>
      </w:r>
    </w:p>
    <w:p>
      <w:pPr>
        <w:pStyle w:val="Heading3"/>
        <w:spacing w:after="120" w:before="200"/>
      </w:pPr>
      <w:r>
        <w:t xml:space="preserve">RQ2 Feature Set</w:t>
      </w:r>
    </w:p>
    <w:p>
      <w:pPr>
        <w:pStyle w:val="ListParagraph"/>
        <w:numPr>
          <w:ilvl w:val="0"/>
          <w:numId w:val="1"/>
        </w:numPr>
        <w:spacing w:after="100"/>
      </w:pPr>
      <w:r>
        <w:t xml:space="preserve">Semester GPA</w:t>
      </w:r>
    </w:p>
    <w:p>
      <w:pPr>
        <w:pStyle w:val="ListParagraph"/>
        <w:numPr>
          <w:ilvl w:val="0"/>
          <w:numId w:val="1"/>
        </w:numPr>
        <w:spacing w:after="100"/>
      </w:pPr>
      <w:r>
        <w:t xml:space="preserve">Individual module grades</w:t>
      </w:r>
    </w:p>
    <w:p>
      <w:pPr>
        <w:pStyle w:val="ListParagraph"/>
        <w:numPr>
          <w:ilvl w:val="0"/>
          <w:numId w:val="1"/>
        </w:numPr>
        <w:spacing w:after="100"/>
      </w:pPr>
      <w:r>
        <w:t xml:space="preserve">Demographic variables</w:t>
      </w:r>
    </w:p>
    <w:p>
      <w:pPr>
        <w:pStyle w:val="ListParagraph"/>
        <w:numPr>
          <w:ilvl w:val="0"/>
          <w:numId w:val="1"/>
        </w:numPr>
        <w:spacing w:after="100"/>
      </w:pPr>
      <w:r>
        <w:t xml:space="preserve">Pre-university indicators</w:t>
      </w:r>
    </w:p>
    <w:p>
      <w:pPr>
        <w:spacing w:after="200"/>
      </w:pPr>
      <w:r>
        <w:t xml:space="preserve">Focus: explaining prediction behaviour using richer academic evidence.</w:t>
      </w:r>
    </w:p>
    <w:p>
      <w:pPr>
        <w:pStyle w:val="Heading2"/>
        <w:spacing w:after="150" w:before="300"/>
      </w:pPr>
      <w:r>
        <w:t xml:space="preserve">5. Model Selection Strategy</w:t>
      </w:r>
    </w:p>
    <w:p>
      <w:pPr>
        <w:pStyle w:val="Heading3"/>
        <w:spacing w:after="120" w:before="200"/>
      </w:pPr>
      <w:r>
        <w:t xml:space="preserve">Why Ridge Regression?</w:t>
      </w:r>
    </w:p>
    <w:p>
      <w:pPr>
        <w:spacing w:after="200"/>
      </w:pPr>
      <w:r>
        <w:t xml:space="preserve">Ridge Regression was selected because it provides:</w:t>
      </w:r>
    </w:p>
    <w:p>
      <w:pPr>
        <w:pStyle w:val="ListParagraph"/>
        <w:numPr>
          <w:ilvl w:val="0"/>
          <w:numId w:val="1"/>
        </w:numPr>
        <w:spacing w:after="100"/>
      </w:pPr>
      <w:r>
        <w:t xml:space="preserve">Stable parameter estimation</w:t>
      </w:r>
    </w:p>
    <w:p>
      <w:pPr>
        <w:pStyle w:val="ListParagraph"/>
        <w:numPr>
          <w:ilvl w:val="0"/>
          <w:numId w:val="1"/>
        </w:numPr>
        <w:spacing w:after="100"/>
      </w:pPr>
      <w:r>
        <w:t xml:space="preserve">Robustness to multicollinearity</w:t>
      </w:r>
    </w:p>
    <w:p>
      <w:pPr>
        <w:pStyle w:val="ListParagraph"/>
        <w:numPr>
          <w:ilvl w:val="0"/>
          <w:numId w:val="1"/>
        </w:numPr>
        <w:spacing w:after="100"/>
      </w:pPr>
      <w:r>
        <w:t xml:space="preserve">Transparent coefficients</w:t>
      </w:r>
    </w:p>
    <w:p>
      <w:pPr>
        <w:pStyle w:val="ListParagraph"/>
        <w:numPr>
          <w:ilvl w:val="0"/>
          <w:numId w:val="1"/>
        </w:numPr>
        <w:spacing w:after="100"/>
      </w:pPr>
      <w:r>
        <w:t xml:space="preserve">Compatibility with Linear SHAP</w:t>
      </w:r>
    </w:p>
    <w:p>
      <w:pPr>
        <w:pStyle w:val="ListParagraph"/>
        <w:numPr>
          <w:ilvl w:val="0"/>
          <w:numId w:val="1"/>
        </w:numPr>
        <w:spacing w:after="100"/>
      </w:pPr>
      <w:r>
        <w:t xml:space="preserve">Lower overfitting risk</w:t>
      </w:r>
    </w:p>
    <w:p>
      <w:pPr>
        <w:pStyle w:val="ListParagraph"/>
        <w:numPr>
          <w:ilvl w:val="0"/>
          <w:numId w:val="1"/>
        </w:numPr>
        <w:spacing w:after="100"/>
      </w:pPr>
      <w:r>
        <w:t xml:space="preserve">Educational interpretability</w:t>
      </w:r>
    </w:p>
    <w:p>
      <w:pPr>
        <w:spacing w:after="200"/>
      </w:pPr>
      <w:r>
        <w:t xml:space="preserve">The goal is trustworthy educational decision support rather than algorithm competition.</w:t>
      </w:r>
    </w:p>
    <w:p>
      <w:pPr>
        <w:pStyle w:val="Heading2"/>
        <w:spacing w:after="150" w:before="300"/>
      </w:pPr>
      <w:r>
        <w:t xml:space="preserve">6. Experimental Design</w:t>
      </w:r>
    </w:p>
    <w:p>
      <w:pPr>
        <w:pStyle w:val="Heading3"/>
        <w:spacing w:after="120" w:before="200"/>
      </w:pPr>
      <w:r>
        <w:t xml:space="preserve">Stream 1 — Prediction Reliability</w:t>
      </w:r>
    </w:p>
    <w:p>
      <w:pPr>
        <w:spacing w:after="200"/>
      </w:pPr>
      <w:r>
        <w:t xml:space="preserve">Outputs:</w:t>
      </w:r>
    </w:p>
    <w:p>
      <w:pPr>
        <w:pStyle w:val="ListParagraph"/>
        <w:numPr>
          <w:ilvl w:val="0"/>
          <w:numId w:val="1"/>
        </w:numPr>
        <w:spacing w:after="100"/>
      </w:pPr>
      <w:r>
        <w:t xml:space="preserve">RMSE</w:t>
      </w:r>
    </w:p>
    <w:p>
      <w:pPr>
        <w:pStyle w:val="ListParagraph"/>
        <w:numPr>
          <w:ilvl w:val="0"/>
          <w:numId w:val="1"/>
        </w:numPr>
        <w:spacing w:after="100"/>
      </w:pPr>
      <w:r>
        <w:t xml:space="preserve">R²</w:t>
      </w:r>
    </w:p>
    <w:p>
      <w:pPr>
        <w:pStyle w:val="ListParagraph"/>
        <w:numPr>
          <w:ilvl w:val="0"/>
          <w:numId w:val="1"/>
        </w:numPr>
        <w:spacing w:after="100"/>
      </w:pPr>
      <w:r>
        <w:t xml:space="preserve">Standard deviation of RMSE</w:t>
      </w:r>
    </w:p>
    <w:p>
      <w:pPr>
        <w:pStyle w:val="ListParagraph"/>
        <w:numPr>
          <w:ilvl w:val="0"/>
          <w:numId w:val="1"/>
        </w:numPr>
        <w:spacing w:after="100"/>
      </w:pPr>
      <w:r>
        <w:t xml:space="preserve">Prediction stability</w:t>
      </w:r>
    </w:p>
    <w:p>
      <w:pPr>
        <w:pStyle w:val="ListParagraph"/>
        <w:numPr>
          <w:ilvl w:val="0"/>
          <w:numId w:val="1"/>
        </w:numPr>
        <w:spacing w:after="100"/>
      </w:pPr>
      <w:r>
        <w:t xml:space="preserve">Directional bias</w:t>
      </w:r>
    </w:p>
    <w:p>
      <w:pPr>
        <w:pStyle w:val="Heading3"/>
        <w:spacing w:after="120" w:before="200"/>
      </w:pPr>
      <w:r>
        <w:t xml:space="preserve">Stream 2 — Temporal Explainability</w:t>
      </w:r>
    </w:p>
    <w:p>
      <w:pPr>
        <w:spacing w:after="200"/>
      </w:pPr>
      <w:r>
        <w:t xml:space="preserve">Outputs:</w:t>
      </w:r>
    </w:p>
    <w:p>
      <w:pPr>
        <w:pStyle w:val="ListParagraph"/>
        <w:numPr>
          <w:ilvl w:val="0"/>
          <w:numId w:val="1"/>
        </w:numPr>
        <w:spacing w:after="100"/>
      </w:pPr>
      <w:r>
        <w:t xml:space="preserve">SHAP beeswarm plots</w:t>
      </w:r>
    </w:p>
    <w:p>
      <w:pPr>
        <w:pStyle w:val="ListParagraph"/>
        <w:numPr>
          <w:ilvl w:val="0"/>
          <w:numId w:val="1"/>
        </w:numPr>
        <w:spacing w:after="100"/>
      </w:pPr>
      <w:r>
        <w:t xml:space="preserve">Mean absolute SHAP plots</w:t>
      </w:r>
    </w:p>
    <w:p>
      <w:pPr>
        <w:pStyle w:val="ListParagraph"/>
        <w:numPr>
          <w:ilvl w:val="0"/>
          <w:numId w:val="1"/>
        </w:numPr>
        <w:spacing w:after="100"/>
      </w:pPr>
      <w:r>
        <w:t xml:space="preserve">Temporal feature evolution</w:t>
      </w:r>
    </w:p>
    <w:p>
      <w:pPr>
        <w:pStyle w:val="ListParagraph"/>
        <w:numPr>
          <w:ilvl w:val="0"/>
          <w:numId w:val="1"/>
        </w:numPr>
        <w:spacing w:after="100"/>
      </w:pPr>
      <w:r>
        <w:t xml:space="preserve">Department comparisons</w:t>
      </w:r>
    </w:p>
    <w:p>
      <w:pPr>
        <w:pStyle w:val="Heading2"/>
        <w:spacing w:after="150" w:before="300"/>
      </w:pPr>
      <w:r>
        <w:t xml:space="preserve">7. Statistical Analysis Roadmap</w:t>
      </w:r>
    </w:p>
    <w:p>
      <w:pPr>
        <w:spacing w:after="200"/>
      </w:pPr>
      <w:r>
        <w:rPr>
          <w:b/>
          <w:bCs/>
        </w:rPr>
        <w:t xml:space="preserve">Prediction Performance</w:t>
      </w:r>
    </w:p>
    <w:p>
      <w:pPr>
        <w:pStyle w:val="ListParagraph"/>
        <w:numPr>
          <w:ilvl w:val="0"/>
          <w:numId w:val="1"/>
        </w:numPr>
        <w:spacing w:after="100"/>
      </w:pPr>
      <w:r>
        <w:t xml:space="preserve">RMSE</w:t>
      </w:r>
    </w:p>
    <w:p>
      <w:pPr>
        <w:pStyle w:val="ListParagraph"/>
        <w:numPr>
          <w:ilvl w:val="0"/>
          <w:numId w:val="1"/>
        </w:numPr>
        <w:spacing w:after="100"/>
      </w:pPr>
      <w:r>
        <w:t xml:space="preserve">MAE</w:t>
      </w:r>
    </w:p>
    <w:p>
      <w:pPr>
        <w:pStyle w:val="ListParagraph"/>
        <w:numPr>
          <w:ilvl w:val="0"/>
          <w:numId w:val="1"/>
        </w:numPr>
        <w:spacing w:after="100"/>
      </w:pPr>
      <w:r>
        <w:t xml:space="preserve">R²</w:t>
      </w:r>
    </w:p>
    <w:p>
      <w:pPr>
        <w:spacing w:after="200"/>
      </w:pPr>
      <w:r>
        <w:rPr>
          <w:b/>
          <w:bCs/>
        </w:rPr>
        <w:t xml:space="preserve">Prediction Stability</w:t>
      </w:r>
    </w:p>
    <w:p>
      <w:pPr>
        <w:pStyle w:val="ListParagraph"/>
        <w:numPr>
          <w:ilvl w:val="0"/>
          <w:numId w:val="1"/>
        </w:numPr>
        <w:spacing w:after="100"/>
      </w:pPr>
      <w:r>
        <w:t xml:space="preserve">Mean RMSE</w:t>
      </w:r>
    </w:p>
    <w:p>
      <w:pPr>
        <w:pStyle w:val="ListParagraph"/>
        <w:numPr>
          <w:ilvl w:val="0"/>
          <w:numId w:val="1"/>
        </w:numPr>
        <w:spacing w:after="100"/>
      </w:pPr>
      <w:r>
        <w:t xml:space="preserve">Standard deviation</w:t>
      </w:r>
    </w:p>
    <w:p>
      <w:pPr>
        <w:pStyle w:val="ListParagraph"/>
        <w:numPr>
          <w:ilvl w:val="0"/>
          <w:numId w:val="1"/>
        </w:numPr>
        <w:spacing w:after="100"/>
      </w:pPr>
      <w:r>
        <w:t xml:space="preserve">Confidence intervals</w:t>
      </w:r>
    </w:p>
    <w:p>
      <w:pPr>
        <w:spacing w:after="200"/>
      </w:pPr>
      <w:r>
        <w:rPr>
          <w:b/>
          <w:bCs/>
        </w:rPr>
        <w:t xml:space="preserve">Error Behaviour</w:t>
      </w:r>
    </w:p>
    <w:p>
      <w:pPr>
        <w:pStyle w:val="ListParagraph"/>
        <w:numPr>
          <w:ilvl w:val="0"/>
          <w:numId w:val="1"/>
        </w:numPr>
        <w:spacing w:after="100"/>
      </w:pPr>
      <w:r>
        <w:t xml:space="preserve">Over-prediction</w:t>
      </w:r>
    </w:p>
    <w:p>
      <w:pPr>
        <w:pStyle w:val="ListParagraph"/>
        <w:numPr>
          <w:ilvl w:val="0"/>
          <w:numId w:val="1"/>
        </w:numPr>
        <w:spacing w:after="100"/>
      </w:pPr>
      <w:r>
        <w:t xml:space="preserve">Under-prediction</w:t>
      </w:r>
    </w:p>
    <w:p>
      <w:pPr>
        <w:pStyle w:val="ListParagraph"/>
        <w:numPr>
          <w:ilvl w:val="0"/>
          <w:numId w:val="1"/>
        </w:numPr>
        <w:spacing w:after="100"/>
      </w:pPr>
      <w:r>
        <w:t xml:space="preserve">Bias asymmetry</w:t>
      </w:r>
    </w:p>
    <w:p>
      <w:pPr>
        <w:spacing w:after="200"/>
      </w:pPr>
      <w:r>
        <w:rPr>
          <w:b/>
          <w:bCs/>
        </w:rPr>
        <w:t xml:space="preserve">Explainability</w:t>
      </w:r>
    </w:p>
    <w:p>
      <w:pPr>
        <w:pStyle w:val="ListParagraph"/>
        <w:numPr>
          <w:ilvl w:val="0"/>
          <w:numId w:val="1"/>
        </w:numPr>
        <w:spacing w:after="100"/>
      </w:pPr>
      <w:r>
        <w:t xml:space="preserve">SHAP values</w:t>
      </w:r>
    </w:p>
    <w:p>
      <w:pPr>
        <w:pStyle w:val="ListParagraph"/>
        <w:numPr>
          <w:ilvl w:val="0"/>
          <w:numId w:val="1"/>
        </w:numPr>
        <w:spacing w:after="100"/>
      </w:pPr>
      <w:r>
        <w:t xml:space="preserve">Temporal feature importance</w:t>
      </w:r>
    </w:p>
    <w:p>
      <w:pPr>
        <w:pStyle w:val="ListParagraph"/>
        <w:numPr>
          <w:ilvl w:val="0"/>
          <w:numId w:val="1"/>
        </w:numPr>
        <w:spacing w:after="100"/>
      </w:pPr>
      <w:r>
        <w:t xml:space="preserve">Feature consistency</w:t>
      </w:r>
    </w:p>
    <w:p>
      <w:pPr>
        <w:pStyle w:val="Heading2"/>
        <w:spacing w:after="150" w:before="300"/>
      </w:pPr>
      <w:r>
        <w:t xml:space="preserve">8. Educational Decision Framework</w:t>
      </w:r>
    </w:p>
    <w:p>
      <w:pPr>
        <w:pStyle w:val="Heading3"/>
        <w:spacing w:after="120" w:before="200"/>
      </w:pPr>
      <w:r>
        <w:t xml:space="preserve">Low Prediction Confidence</w:t>
      </w:r>
    </w:p>
    <w:p>
      <w:pPr>
        <w:spacing w:after="200"/>
      </w:pPr>
      <w:r>
        <w:rPr>
          <w:b/>
          <w:bCs/>
        </w:rPr>
        <w:t xml:space="preserve">Characteristics</w:t>
      </w:r>
    </w:p>
    <w:p>
      <w:pPr>
        <w:pStyle w:val="ListParagraph"/>
        <w:numPr>
          <w:ilvl w:val="0"/>
          <w:numId w:val="1"/>
        </w:numPr>
        <w:spacing w:after="100"/>
      </w:pPr>
      <w:r>
        <w:t xml:space="preserve">High RMSE</w:t>
      </w:r>
    </w:p>
    <w:p>
      <w:pPr>
        <w:pStyle w:val="ListParagraph"/>
        <w:numPr>
          <w:ilvl w:val="0"/>
          <w:numId w:val="1"/>
        </w:numPr>
        <w:spacing w:after="100"/>
      </w:pPr>
      <w:r>
        <w:t xml:space="preserve">High variability</w:t>
      </w:r>
    </w:p>
    <w:p>
      <w:pPr>
        <w:spacing w:after="200"/>
      </w:pPr>
      <w:r>
        <w:rPr>
          <w:b/>
          <w:bCs/>
        </w:rPr>
        <w:t xml:space="preserve">Recommendation</w:t>
      </w:r>
    </w:p>
    <w:p>
      <w:pPr>
        <w:spacing w:after="200"/>
      </w:pPr>
      <w:r>
        <w:t xml:space="preserve">General monitoring only.</w:t>
      </w:r>
    </w:p>
    <w:p>
      <w:pPr>
        <w:pStyle w:val="Heading3"/>
        <w:spacing w:after="120" w:before="200"/>
      </w:pPr>
      <w:r>
        <w:t xml:space="preserve">Moderate Prediction Confidence</w:t>
      </w:r>
    </w:p>
    <w:p>
      <w:pPr>
        <w:spacing w:after="200"/>
      </w:pPr>
      <w:r>
        <w:rPr>
          <w:b/>
          <w:bCs/>
        </w:rPr>
        <w:t xml:space="preserve">Characteristics</w:t>
      </w:r>
    </w:p>
    <w:p>
      <w:pPr>
        <w:pStyle w:val="ListParagraph"/>
        <w:numPr>
          <w:ilvl w:val="0"/>
          <w:numId w:val="1"/>
        </w:numPr>
        <w:spacing w:after="100"/>
      </w:pPr>
      <w:r>
        <w:t xml:space="preserve">Moderate RMSE</w:t>
      </w:r>
    </w:p>
    <w:p>
      <w:pPr>
        <w:pStyle w:val="ListParagraph"/>
        <w:numPr>
          <w:ilvl w:val="0"/>
          <w:numId w:val="1"/>
        </w:numPr>
        <w:spacing w:after="100"/>
      </w:pPr>
      <w:r>
        <w:t xml:space="preserve">Improved stability</w:t>
      </w:r>
    </w:p>
    <w:p>
      <w:pPr>
        <w:spacing w:after="200"/>
      </w:pPr>
      <w:r>
        <w:rPr>
          <w:b/>
          <w:bCs/>
        </w:rPr>
        <w:t xml:space="preserve">Recommendation</w:t>
      </w:r>
    </w:p>
    <w:p>
      <w:pPr>
        <w:spacing w:after="200"/>
      </w:pPr>
      <w:r>
        <w:t xml:space="preserve">Targeted academic advising with educator oversight.</w:t>
      </w:r>
    </w:p>
    <w:p>
      <w:pPr>
        <w:pStyle w:val="Heading3"/>
        <w:spacing w:after="120" w:before="200"/>
      </w:pPr>
      <w:r>
        <w:t xml:space="preserve">High Prediction Confidence</w:t>
      </w:r>
    </w:p>
    <w:p>
      <w:pPr>
        <w:spacing w:after="200"/>
      </w:pPr>
      <w:r>
        <w:rPr>
          <w:b/>
          <w:bCs/>
        </w:rPr>
        <w:t xml:space="preserve">Characteristics</w:t>
      </w:r>
    </w:p>
    <w:p>
      <w:pPr>
        <w:pStyle w:val="ListParagraph"/>
        <w:numPr>
          <w:ilvl w:val="0"/>
          <w:numId w:val="1"/>
        </w:numPr>
        <w:spacing w:after="100"/>
      </w:pPr>
      <w:r>
        <w:t xml:space="preserve">Low RMSE</w:t>
      </w:r>
    </w:p>
    <w:p>
      <w:pPr>
        <w:pStyle w:val="ListParagraph"/>
        <w:numPr>
          <w:ilvl w:val="0"/>
          <w:numId w:val="1"/>
        </w:numPr>
        <w:spacing w:after="100"/>
      </w:pPr>
      <w:r>
        <w:t xml:space="preserve">Stable predictions</w:t>
      </w:r>
    </w:p>
    <w:p>
      <w:pPr>
        <w:pStyle w:val="ListParagraph"/>
        <w:numPr>
          <w:ilvl w:val="0"/>
          <w:numId w:val="1"/>
        </w:numPr>
        <w:spacing w:after="100"/>
      </w:pPr>
      <w:r>
        <w:t xml:space="preserve">Consistent explanations</w:t>
      </w:r>
    </w:p>
    <w:p>
      <w:pPr>
        <w:spacing w:after="200"/>
      </w:pPr>
      <w:r>
        <w:rPr>
          <w:b/>
          <w:bCs/>
        </w:rPr>
        <w:t xml:space="preserve">Recommendation</w:t>
      </w:r>
    </w:p>
    <w:p>
      <w:pPr>
        <w:spacing w:after="200"/>
      </w:pPr>
      <w:r>
        <w:t xml:space="preserve">Use predictions to support structured intervention planning alongside human judgement.</w:t>
      </w:r>
    </w:p>
    <w:p>
      <w:pPr>
        <w:pStyle w:val="Heading2"/>
        <w:spacing w:after="150" w:before="300"/>
      </w:pPr>
      <w:r>
        <w:t xml:space="preserve">9. Research Deliverables</w:t>
      </w:r>
    </w:p>
    <w:p>
      <w:pPr>
        <w:spacing w:after="200"/>
      </w:pPr>
      <w:r>
        <w:rPr>
          <w:b/>
          <w:bCs/>
        </w:rPr>
        <w:t xml:space="preserve">Technical</w:t>
      </w:r>
    </w:p>
    <w:p>
      <w:pPr>
        <w:pStyle w:val="ListParagraph"/>
        <w:numPr>
          <w:ilvl w:val="0"/>
          <w:numId w:val="1"/>
        </w:numPr>
        <w:spacing w:after="100"/>
      </w:pPr>
      <w:r>
        <w:t xml:space="preserve">Ridge prediction models</w:t>
      </w:r>
    </w:p>
    <w:p>
      <w:pPr>
        <w:pStyle w:val="ListParagraph"/>
        <w:numPr>
          <w:ilvl w:val="0"/>
          <w:numId w:val="1"/>
        </w:numPr>
        <w:spacing w:after="100"/>
      </w:pPr>
      <w:r>
        <w:t xml:space="preserve">Linear SHAP analysis</w:t>
      </w:r>
    </w:p>
    <w:p>
      <w:pPr>
        <w:spacing w:after="200"/>
      </w:pPr>
      <w:r>
        <w:rPr>
          <w:b/>
          <w:bCs/>
        </w:rPr>
        <w:t xml:space="preserve">Analytical</w:t>
      </w:r>
    </w:p>
    <w:p>
      <w:pPr>
        <w:pStyle w:val="ListParagraph"/>
        <w:numPr>
          <w:ilvl w:val="0"/>
          <w:numId w:val="1"/>
        </w:numPr>
        <w:spacing w:after="100"/>
      </w:pPr>
      <w:r>
        <w:t xml:space="preserve">Earliest reliable semester</w:t>
      </w:r>
    </w:p>
    <w:p>
      <w:pPr>
        <w:pStyle w:val="ListParagraph"/>
        <w:numPr>
          <w:ilvl w:val="0"/>
          <w:numId w:val="1"/>
        </w:numPr>
        <w:spacing w:after="100"/>
      </w:pPr>
      <w:r>
        <w:t xml:space="preserve">Prediction stability analysis</w:t>
      </w:r>
    </w:p>
    <w:p>
      <w:pPr>
        <w:pStyle w:val="ListParagraph"/>
        <w:numPr>
          <w:ilvl w:val="0"/>
          <w:numId w:val="1"/>
        </w:numPr>
        <w:spacing w:after="100"/>
      </w:pPr>
      <w:r>
        <w:t xml:space="preserve">Temporal feature evolution</w:t>
      </w:r>
    </w:p>
    <w:p>
      <w:pPr>
        <w:spacing w:after="200"/>
      </w:pPr>
      <w:r>
        <w:rPr>
          <w:b/>
          <w:bCs/>
        </w:rPr>
        <w:t xml:space="preserve">Educational</w:t>
      </w:r>
    </w:p>
    <w:p>
      <w:pPr>
        <w:pStyle w:val="ListParagraph"/>
        <w:numPr>
          <w:ilvl w:val="0"/>
          <w:numId w:val="1"/>
        </w:numPr>
        <w:spacing w:after="100"/>
      </w:pPr>
      <w:r>
        <w:t xml:space="preserve">Confidence-based intervention framework</w:t>
      </w:r>
    </w:p>
    <w:p>
      <w:pPr>
        <w:pStyle w:val="ListParagraph"/>
        <w:numPr>
          <w:ilvl w:val="0"/>
          <w:numId w:val="1"/>
        </w:numPr>
        <w:spacing w:after="100"/>
      </w:pPr>
      <w:r>
        <w:t xml:space="preserve">Responsible learning analytics recommendations</w:t>
      </w:r>
    </w:p>
    <w:p>
      <w:pPr>
        <w:pStyle w:val="Heading2"/>
        <w:spacing w:after="150" w:before="300"/>
      </w:pPr>
      <w:r>
        <w:t xml:space="preserve">10. Planned Figures</w:t>
      </w:r>
    </w:p>
    <w:p>
      <w:pPr>
        <w:pStyle w:val="ListParagraph"/>
        <w:numPr>
          <w:ilvl w:val="0"/>
          <w:numId w:val="2"/>
        </w:numPr>
        <w:spacing w:after="100"/>
      </w:pPr>
      <w:r>
        <w:t xml:space="preserve">Overall Research Framework</w:t>
      </w:r>
    </w:p>
    <w:p>
      <w:pPr>
        <w:pStyle w:val="ListParagraph"/>
        <w:numPr>
          <w:ilvl w:val="0"/>
          <w:numId w:val="2"/>
        </w:numPr>
        <w:spacing w:after="100"/>
      </w:pPr>
      <w:r>
        <w:t xml:space="preserve">Research Workflow</w:t>
      </w:r>
    </w:p>
    <w:p>
      <w:pPr>
        <w:pStyle w:val="ListParagraph"/>
        <w:numPr>
          <w:ilvl w:val="0"/>
          <w:numId w:val="2"/>
        </w:numPr>
        <w:spacing w:after="100"/>
      </w:pPr>
      <w:r>
        <w:t xml:space="preserve">Prediction Reliability Pipeline</w:t>
      </w:r>
    </w:p>
    <w:p>
      <w:pPr>
        <w:pStyle w:val="ListParagraph"/>
        <w:numPr>
          <w:ilvl w:val="0"/>
          <w:numId w:val="2"/>
        </w:numPr>
        <w:spacing w:after="100"/>
      </w:pPr>
      <w:r>
        <w:t xml:space="preserve">Temporal Explainability Pipeline</w:t>
      </w:r>
    </w:p>
    <w:p>
      <w:pPr>
        <w:pStyle w:val="ListParagraph"/>
        <w:numPr>
          <w:ilvl w:val="0"/>
          <w:numId w:val="2"/>
        </w:numPr>
        <w:spacing w:after="100"/>
      </w:pPr>
      <w:r>
        <w:t xml:space="preserve">Educational Decision Framework</w:t>
      </w:r>
    </w:p>
    <w:p>
      <w:pPr>
        <w:pStyle w:val="ListParagraph"/>
        <w:numPr>
          <w:ilvl w:val="0"/>
          <w:numId w:val="2"/>
        </w:numPr>
        <w:spacing w:after="100"/>
      </w:pPr>
      <w:r>
        <w:t xml:space="preserve">Integration of RQ1 and RQ2</w:t>
      </w:r>
    </w:p>
    <w:p>
      <w:pPr>
        <w:pStyle w:val="Heading2"/>
        <w:spacing w:after="150" w:before="300"/>
      </w:pPr>
      <w:r>
        <w:t xml:space="preserve">11. Planned Tables</w:t>
      </w:r>
    </w:p>
    <w:p>
      <w:pPr>
        <w:pStyle w:val="ListParagraph"/>
        <w:numPr>
          <w:ilvl w:val="0"/>
          <w:numId w:val="2"/>
        </w:numPr>
        <w:spacing w:after="100"/>
      </w:pPr>
      <w:r>
        <w:t xml:space="preserve">Dataset Summary</w:t>
      </w:r>
    </w:p>
    <w:p>
      <w:pPr>
        <w:pStyle w:val="ListParagraph"/>
        <w:numPr>
          <w:ilvl w:val="0"/>
          <w:numId w:val="2"/>
        </w:numPr>
        <w:spacing w:after="100"/>
      </w:pPr>
      <w:r>
        <w:t xml:space="preserve">Variables for RQ1</w:t>
      </w:r>
    </w:p>
    <w:p>
      <w:pPr>
        <w:pStyle w:val="ListParagraph"/>
        <w:numPr>
          <w:ilvl w:val="0"/>
          <w:numId w:val="2"/>
        </w:numPr>
        <w:spacing w:after="100"/>
      </w:pPr>
      <w:r>
        <w:t xml:space="preserve">Variables for RQ2</w:t>
      </w:r>
    </w:p>
    <w:p>
      <w:pPr>
        <w:pStyle w:val="ListParagraph"/>
        <w:numPr>
          <w:ilvl w:val="0"/>
          <w:numId w:val="2"/>
        </w:numPr>
        <w:spacing w:after="100"/>
      </w:pPr>
      <w:r>
        <w:t xml:space="preserve">Model Configuration</w:t>
      </w:r>
    </w:p>
    <w:p>
      <w:pPr>
        <w:pStyle w:val="ListParagraph"/>
        <w:numPr>
          <w:ilvl w:val="0"/>
          <w:numId w:val="2"/>
        </w:numPr>
        <w:spacing w:after="100"/>
      </w:pPr>
      <w:r>
        <w:t xml:space="preserve">Evaluation Metrics</w:t>
      </w:r>
    </w:p>
    <w:p>
      <w:pPr>
        <w:pStyle w:val="ListParagraph"/>
        <w:numPr>
          <w:ilvl w:val="0"/>
          <w:numId w:val="2"/>
        </w:numPr>
        <w:spacing w:after="100"/>
      </w:pPr>
      <w:r>
        <w:t xml:space="preserve">SHAP Outputs</w:t>
      </w:r>
    </w:p>
    <w:p>
      <w:pPr>
        <w:pStyle w:val="ListParagraph"/>
        <w:numPr>
          <w:ilvl w:val="0"/>
          <w:numId w:val="2"/>
        </w:numPr>
        <w:spacing w:after="100"/>
      </w:pPr>
      <w:r>
        <w:t xml:space="preserve">Educational Interpretation Matrix</w:t>
      </w:r>
    </w:p>
    <w:p>
      <w:pPr>
        <w:pStyle w:val="Heading2"/>
        <w:spacing w:after="150" w:before="300"/>
      </w:pPr>
      <w:r>
        <w:t xml:space="preserve">12. Design Decisions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4472C4" w:val="clear"/>
            <w:vAlign w:val="center"/>
          </w:tcPr>
          <w:p>
            <w:r>
              <w:rPr>
                <w:b/>
                <w:bCs/>
                <w:color w:val="FFFFFF"/>
                <w:sz w:val="20"/>
                <w:szCs w:val="20"/>
              </w:rPr>
              <w:t xml:space="preserve">Decision</w:t>
            </w:r>
          </w:p>
        </w:tc>
        <w:tc>
          <w:tcPr>
            <w:tcW w:type="dxa" w:w="5500"/>
            <w:shd w:fill="4472C4" w:val="clear"/>
            <w:vAlign w:val="center"/>
          </w:tcPr>
          <w:p>
            <w:r>
              <w:rPr>
                <w:b/>
                <w:bCs/>
                <w:color w:val="FFFFFF"/>
                <w:sz w:val="20"/>
                <w:szCs w:val="20"/>
              </w:rPr>
              <w:t xml:space="preserve">Justification</w:t>
            </w:r>
          </w:p>
        </w:tc>
      </w:tr>
      <w:tr>
        <w:tc>
          <w:tcPr>
            <w:tcW w:type="dxa" w:w="3500"/>
            <w:shd w:fill="FFFFFF" w:val="clear"/>
          </w:tcPr>
          <w:p>
            <w:r>
              <w:rPr>
                <w:sz w:val="20"/>
                <w:szCs w:val="20"/>
              </w:rPr>
              <w:t xml:space="preserve">Ridge Regression</w:t>
            </w:r>
          </w:p>
        </w:tc>
        <w:tc>
          <w:tcPr>
            <w:tcW w:type="dxa" w:w="5500"/>
            <w:shd w:fill="FFFFFF" w:val="clear"/>
          </w:tcPr>
          <w:p>
            <w:r>
              <w:rPr>
                <w:sz w:val="20"/>
                <w:szCs w:val="20"/>
              </w:rPr>
              <w:t xml:space="preserve">Transparent, stable, interpretable</w:t>
            </w:r>
          </w:p>
        </w:tc>
      </w:tr>
      <w:tr>
        <w:tc>
          <w:tcPr>
            <w:tcW w:type="dxa" w:w="3500"/>
            <w:shd w:fill="F2F2F2" w:val="clear"/>
          </w:tcPr>
          <w:p>
            <w:r>
              <w:rPr>
                <w:sz w:val="20"/>
                <w:szCs w:val="20"/>
              </w:rPr>
              <w:t xml:space="preserve">Repeated Cross-Validation</w:t>
            </w:r>
          </w:p>
        </w:tc>
        <w:tc>
          <w:tcPr>
            <w:tcW w:type="dxa" w:w="5500"/>
            <w:shd w:fill="F2F2F2" w:val="clear"/>
          </w:tcPr>
          <w:p>
            <w:r>
              <w:rPr>
                <w:sz w:val="20"/>
                <w:szCs w:val="20"/>
              </w:rPr>
              <w:t xml:space="preserve">Measures prediction stability</w:t>
            </w:r>
          </w:p>
        </w:tc>
      </w:tr>
      <w:tr>
        <w:tc>
          <w:tcPr>
            <w:tcW w:type="dxa" w:w="3500"/>
            <w:shd w:fill="FFFFFF" w:val="clear"/>
          </w:tcPr>
          <w:p>
            <w:r>
              <w:rPr>
                <w:sz w:val="20"/>
                <w:szCs w:val="20"/>
              </w:rPr>
              <w:t xml:space="preserve">Independent Test Set</w:t>
            </w:r>
          </w:p>
        </w:tc>
        <w:tc>
          <w:tcPr>
            <w:tcW w:type="dxa" w:w="5500"/>
            <w:shd w:fill="FFFFFF" w:val="clear"/>
          </w:tcPr>
          <w:p>
            <w:r>
              <w:rPr>
                <w:sz w:val="20"/>
                <w:szCs w:val="20"/>
              </w:rPr>
              <w:t xml:space="preserve">Evaluates generalisation</w:t>
            </w:r>
          </w:p>
        </w:tc>
      </w:tr>
      <w:tr>
        <w:tc>
          <w:tcPr>
            <w:tcW w:type="dxa" w:w="3500"/>
            <w:shd w:fill="F2F2F2" w:val="clear"/>
          </w:tcPr>
          <w:p>
            <w:r>
              <w:rPr>
                <w:sz w:val="20"/>
                <w:szCs w:val="20"/>
              </w:rPr>
              <w:t xml:space="preserve">Linear SHAP</w:t>
            </w:r>
          </w:p>
        </w:tc>
        <w:tc>
          <w:tcPr>
            <w:tcW w:type="dxa" w:w="5500"/>
            <w:shd w:fill="F2F2F2" w:val="clear"/>
          </w:tcPr>
          <w:p>
            <w:r>
              <w:rPr>
                <w:sz w:val="20"/>
                <w:szCs w:val="20"/>
              </w:rPr>
              <w:t xml:space="preserve">Explains feature contributions</w:t>
            </w:r>
          </w:p>
        </w:tc>
      </w:tr>
      <w:tr>
        <w:tc>
          <w:tcPr>
            <w:tcW w:type="dxa" w:w="3500"/>
            <w:shd w:fill="FFFFFF" w:val="clear"/>
          </w:tcPr>
          <w:p>
            <w:r>
              <w:rPr>
                <w:sz w:val="20"/>
                <w:szCs w:val="20"/>
              </w:rPr>
              <w:t xml:space="preserve">Group-wise Analysis</w:t>
            </w:r>
          </w:p>
        </w:tc>
        <w:tc>
          <w:tcPr>
            <w:tcW w:type="dxa" w:w="5500"/>
            <w:shd w:fill="FFFFFF" w:val="clear"/>
          </w:tcPr>
          <w:p>
            <w:r>
              <w:rPr>
                <w:sz w:val="20"/>
                <w:szCs w:val="20"/>
              </w:rPr>
              <w:t xml:space="preserve">Supports fairness across student groups</w:t>
            </w:r>
          </w:p>
        </w:tc>
      </w:tr>
      <w:tr>
        <w:tc>
          <w:tcPr>
            <w:tcW w:type="dxa" w:w="3500"/>
            <w:shd w:fill="F2F2F2" w:val="clear"/>
          </w:tcPr>
          <w:p>
            <w:r>
              <w:rPr>
                <w:sz w:val="20"/>
                <w:szCs w:val="20"/>
              </w:rPr>
              <w:t xml:space="preserve">Temporal Analysis</w:t>
            </w:r>
          </w:p>
        </w:tc>
        <w:tc>
          <w:tcPr>
            <w:tcW w:type="dxa" w:w="5500"/>
            <w:shd w:fill="F2F2F2" w:val="clear"/>
          </w:tcPr>
          <w:p>
            <w:r>
              <w:rPr>
                <w:sz w:val="20"/>
                <w:szCs w:val="20"/>
              </w:rPr>
              <w:t xml:space="preserve">Explains evolving prediction reliability</w:t>
            </w:r>
          </w:p>
        </w:tc>
      </w:tr>
    </w:tbl>
    <w:p>
      <w:pPr>
        <w:spacing w:after="200"/>
      </w:pPr>
    </w:p>
    <w:p>
      <w:pPr>
        <w:pStyle w:val="Heading2"/>
        <w:spacing w:after="150" w:before="300"/>
      </w:pPr>
      <w:r>
        <w:t xml:space="preserve">13. Risks and Mitigation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4472C4" w:val="clear"/>
            <w:vAlign w:val="center"/>
          </w:tcPr>
          <w:p>
            <w:r>
              <w:rPr>
                <w:b/>
                <w:bCs/>
                <w:color w:val="FFFFFF"/>
                <w:sz w:val="20"/>
                <w:szCs w:val="20"/>
              </w:rPr>
              <w:t xml:space="preserve">Reviewer Concern</w:t>
            </w:r>
          </w:p>
        </w:tc>
        <w:tc>
          <w:tcPr>
            <w:tcW w:type="dxa" w:w="5500"/>
            <w:shd w:fill="4472C4" w:val="clear"/>
            <w:vAlign w:val="center"/>
          </w:tcPr>
          <w:p>
            <w:r>
              <w:rPr>
                <w:b/>
                <w:bCs/>
                <w:color w:val="FFFFFF"/>
                <w:sz w:val="20"/>
                <w:szCs w:val="20"/>
              </w:rPr>
              <w:t xml:space="preserve">Mitigation</w:t>
            </w:r>
          </w:p>
        </w:tc>
      </w:tr>
      <w:tr>
        <w:tc>
          <w:tcPr>
            <w:tcW w:type="dxa" w:w="3500"/>
            <w:shd w:fill="FFFFFF" w:val="clear"/>
          </w:tcPr>
          <w:p>
            <w:r>
              <w:rPr>
                <w:sz w:val="20"/>
                <w:szCs w:val="20"/>
              </w:rPr>
              <w:t xml:space="preserve">Why Ridge?</w:t>
            </w:r>
          </w:p>
        </w:tc>
        <w:tc>
          <w:tcPr>
            <w:tcW w:type="dxa" w:w="5500"/>
            <w:shd w:fill="FFFFFF" w:val="clear"/>
          </w:tcPr>
          <w:p>
            <w:r>
              <w:rPr>
                <w:sz w:val="20"/>
                <w:szCs w:val="20"/>
              </w:rPr>
              <w:t xml:space="preserve">Transparency and educational interpretability.</w:t>
            </w:r>
          </w:p>
        </w:tc>
      </w:tr>
      <w:tr>
        <w:tc>
          <w:tcPr>
            <w:tcW w:type="dxa" w:w="3500"/>
            <w:shd w:fill="F2F2F2" w:val="clear"/>
          </w:tcPr>
          <w:p>
            <w:r>
              <w:rPr>
                <w:sz w:val="20"/>
                <w:szCs w:val="20"/>
              </w:rPr>
              <w:t xml:space="preserve">Why separate datasets?</w:t>
            </w:r>
          </w:p>
        </w:tc>
        <w:tc>
          <w:tcPr>
            <w:tcW w:type="dxa" w:w="5500"/>
            <w:shd w:fill="F2F2F2" w:val="clear"/>
          </w:tcPr>
          <w:p>
            <w:r>
              <w:rPr>
                <w:sz w:val="20"/>
                <w:szCs w:val="20"/>
              </w:rPr>
              <w:t xml:space="preserve">Different objectives for RQ1 and RQ2.</w:t>
            </w:r>
          </w:p>
        </w:tc>
      </w:tr>
      <w:tr>
        <w:tc>
          <w:tcPr>
            <w:tcW w:type="dxa" w:w="3500"/>
            <w:shd w:fill="FFFFFF" w:val="clear"/>
          </w:tcPr>
          <w:p>
            <w:r>
              <w:rPr>
                <w:sz w:val="20"/>
                <w:szCs w:val="20"/>
              </w:rPr>
              <w:t xml:space="preserve">Why SHAP for linear models?</w:t>
            </w:r>
          </w:p>
        </w:tc>
        <w:tc>
          <w:tcPr>
            <w:tcW w:type="dxa" w:w="5500"/>
            <w:shd w:fill="FFFFFF" w:val="clear"/>
          </w:tcPr>
          <w:p>
            <w:r>
              <w:rPr>
                <w:sz w:val="20"/>
                <w:szCs w:val="20"/>
              </w:rPr>
              <w:t xml:space="preserve">Consistent, interpretable feature attribution.</w:t>
            </w:r>
          </w:p>
        </w:tc>
      </w:tr>
      <w:tr>
        <w:tc>
          <w:tcPr>
            <w:tcW w:type="dxa" w:w="3500"/>
            <w:shd w:fill="F2F2F2" w:val="clear"/>
          </w:tcPr>
          <w:p>
            <w:r>
              <w:rPr>
                <w:sz w:val="20"/>
                <w:szCs w:val="20"/>
              </w:rPr>
              <w:t xml:space="preserve">Automated interventions?</w:t>
            </w:r>
          </w:p>
        </w:tc>
        <w:tc>
          <w:tcPr>
            <w:tcW w:type="dxa" w:w="5500"/>
            <w:shd w:fill="F2F2F2" w:val="clear"/>
          </w:tcPr>
          <w:p>
            <w:r>
              <w:rPr>
                <w:sz w:val="20"/>
                <w:szCs w:val="20"/>
              </w:rPr>
              <w:t xml:space="preserve">Predictions support — not replace — educator judgement.</w:t>
            </w:r>
          </w:p>
        </w:tc>
      </w:tr>
    </w:tbl>
    <w:p>
      <w:pPr>
        <w:spacing w:after="200"/>
      </w:pPr>
    </w:p>
    <w:p>
      <w:pPr>
        <w:pStyle w:val="Heading2"/>
        <w:spacing w:after="150" w:before="300"/>
      </w:pPr>
      <w:r>
        <w:t xml:space="preserve">14. Next Steps</w:t>
      </w:r>
    </w:p>
    <w:p>
      <w:pPr>
        <w:spacing w:after="200"/>
      </w:pPr>
      <w:r>
        <w:t xml:space="preserve">Part C will include:</w:t>
      </w:r>
    </w:p>
    <w:p>
      <w:pPr>
        <w:pStyle w:val="ListParagraph"/>
        <w:numPr>
          <w:ilvl w:val="0"/>
          <w:numId w:val="1"/>
        </w:numPr>
        <w:spacing w:after="100"/>
      </w:pPr>
      <w:r>
        <w:t xml:space="preserve">Literature review strategy</w:t>
      </w:r>
    </w:p>
    <w:p>
      <w:pPr>
        <w:pStyle w:val="ListParagraph"/>
        <w:numPr>
          <w:ilvl w:val="0"/>
          <w:numId w:val="1"/>
        </w:numPr>
        <w:spacing w:after="100"/>
      </w:pPr>
      <w:r>
        <w:t xml:space="preserve">Literature matrix</w:t>
      </w:r>
    </w:p>
    <w:p>
      <w:pPr>
        <w:pStyle w:val="ListParagraph"/>
        <w:numPr>
          <w:ilvl w:val="0"/>
          <w:numId w:val="1"/>
        </w:numPr>
        <w:spacing w:after="100"/>
      </w:pPr>
      <w:r>
        <w:t xml:space="preserve">Gap mapping</w:t>
      </w:r>
    </w:p>
    <w:p>
      <w:pPr>
        <w:pStyle w:val="ListParagraph"/>
        <w:numPr>
          <w:ilvl w:val="0"/>
          <w:numId w:val="1"/>
        </w:numPr>
        <w:spacing w:after="100"/>
      </w:pPr>
      <w:r>
        <w:t xml:space="preserve">Claude literature search prompt</w:t>
      </w:r>
    </w:p>
    <w:p>
      <w:pPr>
        <w:pStyle w:val="ListParagraph"/>
        <w:numPr>
          <w:ilvl w:val="0"/>
          <w:numId w:val="1"/>
        </w:numPr>
        <w:spacing w:after="100"/>
      </w:pPr>
      <w:r>
        <w:t xml:space="preserve">Guidance for synthesising evidence into the IEEE TALE paper.</w:t>
      </w:r>
    </w:p>
    <w:p>
      <w:pPr>
        <w:pageBreakBefore/>
      </w:pPr>
    </w:p>
    <w:p>
      <w:pPr>
        <w:spacing w:after="100"/>
      </w:pPr>
      <w:r>
        <w:rPr>
          <w:b/>
          <w:bCs/>
          <w:color w:val="4472C4"/>
          <w:sz w:val="20"/>
          <w:szCs w:val="20"/>
        </w:rPr>
        <w:t xml:space="preserve">PART C</w:t>
      </w:r>
    </w:p>
    <w:p>
      <w:pPr>
        <w:pStyle w:val="Heading1"/>
        <w:spacing w:after="200" w:before="400"/>
      </w:pPr>
      <w:r>
        <w:t xml:space="preserve">Part C — Literature Review Strategy &amp; Evidence Collection</w:t>
      </w:r>
    </w:p>
    <w:p>
      <w:pPr>
        <w:pStyle w:val="Heading2"/>
        <w:spacing w:after="150" w:before="300"/>
      </w:pPr>
      <w:r>
        <w:t xml:space="preserve">1. Purpose of the Literature Review</w:t>
      </w:r>
    </w:p>
    <w:p>
      <w:pPr>
        <w:spacing w:after="200"/>
      </w:pPr>
      <w:r>
        <w:t xml:space="preserve">The literature review provides the theoretical foundation for this research by establishing the current state of knowledge in student performance prediction, learning analytics, explainable artificial intelligence (XAI), and trustworthy educational decision support. Rather than presenting a chronological summary of previous work, this review will synthesise existing evidence to identify methodological trends, unresolved challenges, and research gaps that justify the proposed framework.</w:t>
      </w:r>
    </w:p>
    <w:p>
      <w:pPr>
        <w:spacing w:after="200"/>
      </w:pPr>
      <w:r>
        <w:t xml:space="preserve">The review has three primary objectives. First, it establishes the importance of early student performance prediction within higher education. Second, it demonstrates why current studies do not sufficiently address prediction trustworthiness or temporal explainability. Third, it positions the proposed Trustworthy Learning Analytics Group-aware Framework within the broader learning analytics literature.</w:t>
      </w:r>
    </w:p>
    <w:p>
      <w:pPr>
        <w:pStyle w:val="Heading2"/>
        <w:spacing w:after="150" w:before="300"/>
      </w:pPr>
      <w:r>
        <w:t xml:space="preserve">2. Literature Review Philosophy</w:t>
      </w:r>
    </w:p>
    <w:p>
      <w:pPr>
        <w:spacing w:after="200"/>
      </w:pPr>
      <w:r>
        <w:t xml:space="preserve">The literature review will follow a thematic synthesis approach instead of reviewing papers individually. Studies investigating similar concepts will be grouped together to identify common findings, methodological differences, and remaining research gaps.</w:t>
      </w:r>
    </w:p>
    <w:p>
      <w:pPr>
        <w:spacing w:after="200"/>
      </w:pPr>
      <w:r>
        <w:t xml:space="preserve">Each theme will conclude by explaining how the reviewed evidence motivates the next section and contributes to the proposed research framework.</w:t>
      </w:r>
    </w:p>
    <w:p>
      <w:pPr>
        <w:pStyle w:val="Heading2"/>
        <w:spacing w:after="150" w:before="300"/>
      </w:pPr>
      <w:r>
        <w:t xml:space="preserve">3. Literature Themes</w:t>
      </w:r>
    </w:p>
    <w:p>
      <w:pPr>
        <w:spacing w:after="200"/>
      </w:pPr>
      <w:r>
        <w:t xml:space="preserve">The review will be organised into six interconnected themes.</w:t>
      </w:r>
    </w:p>
    <w:p>
      <w:pPr>
        <w:spacing w:after="200"/>
      </w:pPr>
      <w:r>
        <w:rPr>
          <w:b/>
          <w:bCs/>
        </w:rPr>
        <w:t xml:space="preserve">Theme 1 — Learning Analytics and Educational Data Mining: </w:t>
      </w:r>
      <w:r>
        <w:t xml:space="preserve">Introduce the evolution of learning analytics, educational data mining, and data-driven educational decision support.</w:t>
      </w:r>
    </w:p>
    <w:p>
      <w:pPr>
        <w:spacing w:after="200"/>
      </w:pPr>
      <w:r>
        <w:rPr>
          <w:b/>
          <w:bCs/>
        </w:rPr>
        <w:t xml:space="preserve">Theme 2 — Student Performance Prediction: </w:t>
      </w:r>
      <w:r>
        <w:t xml:space="preserve">Review commonly used datasets, predictive features, machine learning algorithms, and evaluation metrics.</w:t>
      </w:r>
    </w:p>
    <w:p>
      <w:pPr>
        <w:spacing w:after="200"/>
      </w:pPr>
      <w:r>
        <w:rPr>
          <w:b/>
          <w:bCs/>
        </w:rPr>
        <w:t xml:space="preserve">Theme 3 — Trustworthy and Responsible AI in Education: </w:t>
      </w:r>
      <w:r>
        <w:t xml:space="preserve">Examine reliability, transparency, fairness, interpretability, and responsible deployment of prediction systems.</w:t>
      </w:r>
    </w:p>
    <w:p>
      <w:pPr>
        <w:spacing w:after="200"/>
      </w:pPr>
      <w:r>
        <w:rPr>
          <w:b/>
          <w:bCs/>
        </w:rPr>
        <w:t xml:space="preserve">Theme 4 — Explainable Artificial Intelligence: </w:t>
      </w:r>
      <w:r>
        <w:t xml:space="preserve">Review SHAP and other explainability methods used in educational prediction studies, highlighting how explanations support educational interpretation.</w:t>
      </w:r>
    </w:p>
    <w:p>
      <w:pPr>
        <w:spacing w:after="200"/>
      </w:pPr>
      <w:r>
        <w:rPr>
          <w:b/>
          <w:bCs/>
        </w:rPr>
        <w:t xml:space="preserve">Theme 5 — Temporal Prediction and Early Warning Systems: </w:t>
      </w:r>
      <w:r>
        <w:t xml:space="preserve">Investigate studies analysing semester-wise prediction, longitudinal learning behaviour, and early intervention opportunities.</w:t>
      </w:r>
    </w:p>
    <w:p>
      <w:pPr>
        <w:spacing w:after="200"/>
      </w:pPr>
      <w:r>
        <w:rPr>
          <w:b/>
          <w:bCs/>
        </w:rPr>
        <w:t xml:space="preserve">Theme 6 — Research Gap and Positioning: </w:t>
      </w:r>
      <w:r>
        <w:t xml:space="preserve">Integrate evidence from previous themes to justify the proposed framework and define its contributions.</w:t>
      </w:r>
    </w:p>
    <w:p>
      <w:pPr>
        <w:pStyle w:val="Heading2"/>
        <w:spacing w:after="150" w:before="300"/>
      </w:pPr>
      <w:r>
        <w:t xml:space="preserve">4. Literature Search Strategy</w:t>
      </w:r>
    </w:p>
    <w:p>
      <w:pPr>
        <w:spacing w:after="200"/>
      </w:pPr>
      <w:r>
        <w:t xml:space="preserve">The search will prioritise peer-reviewed publications from recognised journals and conferences in learning analytics, educational data mining, artificial intelligence, and higher education.</w:t>
      </w:r>
    </w:p>
    <w:p>
      <w:pPr>
        <w:spacing w:after="200"/>
      </w:pPr>
      <w:r>
        <w:t xml:space="preserve">Priority sources include:</w:t>
      </w:r>
    </w:p>
    <w:p>
      <w:pPr>
        <w:pStyle w:val="ListParagraph"/>
        <w:numPr>
          <w:ilvl w:val="0"/>
          <w:numId w:val="1"/>
        </w:numPr>
        <w:spacing w:after="100"/>
      </w:pPr>
      <w:r>
        <w:t xml:space="preserve">IEEE Xplore</w:t>
      </w:r>
    </w:p>
    <w:p>
      <w:pPr>
        <w:pStyle w:val="ListParagraph"/>
        <w:numPr>
          <w:ilvl w:val="0"/>
          <w:numId w:val="1"/>
        </w:numPr>
        <w:spacing w:after="100"/>
      </w:pPr>
      <w:r>
        <w:t xml:space="preserve">ACM Digital Library</w:t>
      </w:r>
    </w:p>
    <w:p>
      <w:pPr>
        <w:pStyle w:val="ListParagraph"/>
        <w:numPr>
          <w:ilvl w:val="0"/>
          <w:numId w:val="1"/>
        </w:numPr>
        <w:spacing w:after="100"/>
      </w:pPr>
      <w:r>
        <w:t xml:space="preserve">SpringerLink</w:t>
      </w:r>
    </w:p>
    <w:p>
      <w:pPr>
        <w:pStyle w:val="ListParagraph"/>
        <w:numPr>
          <w:ilvl w:val="0"/>
          <w:numId w:val="1"/>
        </w:numPr>
        <w:spacing w:after="100"/>
      </w:pPr>
      <w:r>
        <w:t xml:space="preserve">ScienceDirect (Elsevier)</w:t>
      </w:r>
    </w:p>
    <w:p>
      <w:pPr>
        <w:pStyle w:val="ListParagraph"/>
        <w:numPr>
          <w:ilvl w:val="0"/>
          <w:numId w:val="1"/>
        </w:numPr>
        <w:spacing w:after="100"/>
      </w:pPr>
      <w:r>
        <w:t xml:space="preserve">Computers &amp; Education</w:t>
      </w:r>
    </w:p>
    <w:p>
      <w:pPr>
        <w:pStyle w:val="ListParagraph"/>
        <w:numPr>
          <w:ilvl w:val="0"/>
          <w:numId w:val="1"/>
        </w:numPr>
        <w:spacing w:after="100"/>
      </w:pPr>
      <w:r>
        <w:t xml:space="preserve">IEEE Access</w:t>
      </w:r>
    </w:p>
    <w:p>
      <w:pPr>
        <w:pStyle w:val="ListParagraph"/>
        <w:numPr>
          <w:ilvl w:val="0"/>
          <w:numId w:val="1"/>
        </w:numPr>
        <w:spacing w:after="100"/>
      </w:pPr>
      <w:r>
        <w:t xml:space="preserve">Learning Analytics and Knowledge (LAK)</w:t>
      </w:r>
    </w:p>
    <w:p>
      <w:pPr>
        <w:pStyle w:val="ListParagraph"/>
        <w:numPr>
          <w:ilvl w:val="0"/>
          <w:numId w:val="1"/>
        </w:numPr>
        <w:spacing w:after="100"/>
      </w:pPr>
      <w:r>
        <w:t xml:space="preserve">Educational Data Mining (EDM)</w:t>
      </w:r>
    </w:p>
    <w:p>
      <w:pPr>
        <w:pStyle w:val="ListParagraph"/>
        <w:numPr>
          <w:ilvl w:val="0"/>
          <w:numId w:val="1"/>
        </w:numPr>
        <w:spacing w:after="100"/>
      </w:pPr>
      <w:r>
        <w:t xml:space="preserve">IEEE TALE</w:t>
      </w:r>
    </w:p>
    <w:p>
      <w:pPr>
        <w:spacing w:after="200"/>
      </w:pPr>
      <w:r>
        <w:t xml:space="preserve">Preference will be given to publications from the last five to seven years while retaining influential earlier studies where necessary.</w:t>
      </w:r>
    </w:p>
    <w:p>
      <w:pPr>
        <w:pStyle w:val="Heading2"/>
        <w:spacing w:after="150" w:before="300"/>
      </w:pPr>
      <w:r>
        <w:t xml:space="preserve">5. Inclusion and Exclusion Criteria</w:t>
      </w:r>
    </w:p>
    <w:p>
      <w:pPr>
        <w:spacing w:after="200"/>
      </w:pPr>
      <w:r>
        <w:t xml:space="preserve">Studies will be included if they investigate student performance prediction, learning analytics, explainable AI, trustworthy AI, responsible AI, educational decision support, or early warning systems within educational settings.</w:t>
      </w:r>
    </w:p>
    <w:p>
      <w:pPr>
        <w:spacing w:after="200"/>
      </w:pPr>
      <w:r>
        <w:t xml:space="preserve">Priority will be given to peer-reviewed journal articles and conference papers. Non-peer-reviewed sources, blogs, and opinion articles will generally be excluded unless required for background information.</w:t>
      </w:r>
    </w:p>
    <w:p>
      <w:pPr>
        <w:pStyle w:val="Heading2"/>
        <w:spacing w:after="150" w:before="300"/>
      </w:pPr>
      <w:r>
        <w:t xml:space="preserve">6. Literature Extraction Framework</w:t>
      </w:r>
    </w:p>
    <w:p>
      <w:pPr>
        <w:spacing w:after="200"/>
      </w:pPr>
      <w:r>
        <w:t xml:space="preserve">For each selected paper, the following information will be extracted:</w:t>
      </w:r>
    </w:p>
    <w:p>
      <w:pPr>
        <w:pStyle w:val="ListParagraph"/>
        <w:numPr>
          <w:ilvl w:val="0"/>
          <w:numId w:val="1"/>
        </w:numPr>
        <w:spacing w:after="100"/>
      </w:pPr>
      <w:r>
        <w:t xml:space="preserve">Research objective</w:t>
      </w:r>
    </w:p>
    <w:p>
      <w:pPr>
        <w:pStyle w:val="ListParagraph"/>
        <w:numPr>
          <w:ilvl w:val="0"/>
          <w:numId w:val="1"/>
        </w:numPr>
        <w:spacing w:after="100"/>
      </w:pPr>
      <w:r>
        <w:t xml:space="preserve">Educational context</w:t>
      </w:r>
    </w:p>
    <w:p>
      <w:pPr>
        <w:pStyle w:val="ListParagraph"/>
        <w:numPr>
          <w:ilvl w:val="0"/>
          <w:numId w:val="1"/>
        </w:numPr>
        <w:spacing w:after="100"/>
      </w:pPr>
      <w:r>
        <w:t xml:space="preserve">Dataset characteristics</w:t>
      </w:r>
    </w:p>
    <w:p>
      <w:pPr>
        <w:pStyle w:val="ListParagraph"/>
        <w:numPr>
          <w:ilvl w:val="0"/>
          <w:numId w:val="1"/>
        </w:numPr>
        <w:spacing w:after="100"/>
      </w:pPr>
      <w:r>
        <w:t xml:space="preserve">Features used</w:t>
      </w:r>
    </w:p>
    <w:p>
      <w:pPr>
        <w:pStyle w:val="ListParagraph"/>
        <w:numPr>
          <w:ilvl w:val="0"/>
          <w:numId w:val="1"/>
        </w:numPr>
        <w:spacing w:after="100"/>
      </w:pPr>
      <w:r>
        <w:t xml:space="preserve">Prediction model(s)</w:t>
      </w:r>
    </w:p>
    <w:p>
      <w:pPr>
        <w:pStyle w:val="ListParagraph"/>
        <w:numPr>
          <w:ilvl w:val="0"/>
          <w:numId w:val="1"/>
        </w:numPr>
        <w:spacing w:after="100"/>
      </w:pPr>
      <w:r>
        <w:t xml:space="preserve">Explainability approach</w:t>
      </w:r>
    </w:p>
    <w:p>
      <w:pPr>
        <w:pStyle w:val="ListParagraph"/>
        <w:numPr>
          <w:ilvl w:val="0"/>
          <w:numId w:val="1"/>
        </w:numPr>
        <w:spacing w:after="100"/>
      </w:pPr>
      <w:r>
        <w:t xml:space="preserve">Evaluation metrics</w:t>
      </w:r>
    </w:p>
    <w:p>
      <w:pPr>
        <w:pStyle w:val="ListParagraph"/>
        <w:numPr>
          <w:ilvl w:val="0"/>
          <w:numId w:val="1"/>
        </w:numPr>
        <w:spacing w:after="100"/>
      </w:pPr>
      <w:r>
        <w:t xml:space="preserve">Main findings</w:t>
      </w:r>
    </w:p>
    <w:p>
      <w:pPr>
        <w:pStyle w:val="ListParagraph"/>
        <w:numPr>
          <w:ilvl w:val="0"/>
          <w:numId w:val="1"/>
        </w:numPr>
        <w:spacing w:after="100"/>
      </w:pPr>
      <w:r>
        <w:t xml:space="preserve">Limitations</w:t>
      </w:r>
    </w:p>
    <w:p>
      <w:pPr>
        <w:pStyle w:val="ListParagraph"/>
        <w:numPr>
          <w:ilvl w:val="0"/>
          <w:numId w:val="1"/>
        </w:numPr>
        <w:spacing w:after="100"/>
      </w:pPr>
      <w:r>
        <w:t xml:space="preserve">Relevance to this research</w:t>
      </w:r>
    </w:p>
    <w:p>
      <w:pPr>
        <w:spacing w:after="200"/>
      </w:pPr>
      <w:r>
        <w:t xml:space="preserve">Using a consistent extraction framework will simplify comparison across studies and support thematic synthesis.</w:t>
      </w:r>
    </w:p>
    <w:p>
      <w:pPr>
        <w:pStyle w:val="Heading2"/>
        <w:spacing w:after="150" w:before="300"/>
      </w:pPr>
      <w:r>
        <w:t xml:space="preserve">7. Literature Matrix Template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1000"/>
        <w:gridCol w:w="900"/>
        <w:gridCol w:w="1100"/>
        <w:gridCol w:w="1000"/>
        <w:gridCol w:w="1200"/>
        <w:gridCol w:w="1100"/>
      </w:tblGrid>
      <w:tr>
        <w:trPr>
          <w:tblHeader/>
        </w:trPr>
        <w:tc>
          <w:tcPr>
            <w:tcW w:type="dxa" w:w="900"/>
            <w:shd w:fill="4472C4" w:val="clear"/>
            <w:vAlign w:val="center"/>
          </w:tcPr>
          <w:p>
            <w:r>
              <w:rPr>
                <w:b/>
                <w:bCs/>
                <w:color w:val="FFFFFF"/>
                <w:sz w:val="20"/>
                <w:szCs w:val="20"/>
              </w:rPr>
              <w:t xml:space="preserve">Study</w:t>
            </w:r>
          </w:p>
        </w:tc>
        <w:tc>
          <w:tcPr>
            <w:tcW w:type="dxa" w:w="900"/>
            <w:shd w:fill="4472C4" w:val="clear"/>
            <w:vAlign w:val="center"/>
          </w:tcPr>
          <w:p>
            <w:r>
              <w:rPr>
                <w:b/>
                <w:bCs/>
                <w:color w:val="FFFFFF"/>
                <w:sz w:val="20"/>
                <w:szCs w:val="20"/>
              </w:rPr>
              <w:t xml:space="preserve">Context</w:t>
            </w:r>
          </w:p>
        </w:tc>
        <w:tc>
          <w:tcPr>
            <w:tcW w:type="dxa" w:w="900"/>
            <w:shd w:fill="4472C4" w:val="clear"/>
            <w:vAlign w:val="center"/>
          </w:tcPr>
          <w:p>
            <w:r>
              <w:rPr>
                <w:b/>
                <w:bCs/>
                <w:color w:val="FFFFFF"/>
                <w:sz w:val="20"/>
                <w:szCs w:val="20"/>
              </w:rPr>
              <w:t xml:space="preserve">Dataset</w:t>
            </w:r>
          </w:p>
        </w:tc>
        <w:tc>
          <w:tcPr>
            <w:tcW w:type="dxa" w:w="1000"/>
            <w:shd w:fill="4472C4" w:val="clear"/>
            <w:vAlign w:val="center"/>
          </w:tcPr>
          <w:p>
            <w:r>
              <w:rPr>
                <w:b/>
                <w:bCs/>
                <w:color w:val="FFFFFF"/>
                <w:sz w:val="20"/>
                <w:szCs w:val="20"/>
              </w:rPr>
              <w:t xml:space="preserve">Features</w:t>
            </w:r>
          </w:p>
        </w:tc>
        <w:tc>
          <w:tcPr>
            <w:tcW w:type="dxa" w:w="900"/>
            <w:shd w:fill="4472C4" w:val="clear"/>
            <w:vAlign w:val="center"/>
          </w:tcPr>
          <w:p>
            <w:r>
              <w:rPr>
                <w:b/>
                <w:bCs/>
                <w:color w:val="FFFFFF"/>
                <w:sz w:val="20"/>
                <w:szCs w:val="20"/>
              </w:rPr>
              <w:t xml:space="preserve">Model</w:t>
            </w:r>
          </w:p>
        </w:tc>
        <w:tc>
          <w:tcPr>
            <w:tcW w:type="dxa" w:w="1100"/>
            <w:shd w:fill="4472C4" w:val="clear"/>
            <w:vAlign w:val="center"/>
          </w:tcPr>
          <w:p>
            <w:r>
              <w:rPr>
                <w:b/>
                <w:bCs/>
                <w:color w:val="FFFFFF"/>
                <w:sz w:val="20"/>
                <w:szCs w:val="20"/>
              </w:rPr>
              <w:t xml:space="preserve">Explainability</w:t>
            </w:r>
          </w:p>
        </w:tc>
        <w:tc>
          <w:tcPr>
            <w:tcW w:type="dxa" w:w="1000"/>
            <w:shd w:fill="4472C4" w:val="clear"/>
            <w:vAlign w:val="center"/>
          </w:tcPr>
          <w:p>
            <w:r>
              <w:rPr>
                <w:b/>
                <w:bCs/>
                <w:color w:val="FFFFFF"/>
                <w:sz w:val="20"/>
                <w:szCs w:val="20"/>
              </w:rPr>
              <w:t xml:space="preserve">Evaluation</w:t>
            </w:r>
          </w:p>
        </w:tc>
        <w:tc>
          <w:tcPr>
            <w:tcW w:type="dxa" w:w="1200"/>
            <w:shd w:fill="4472C4" w:val="clear"/>
            <w:vAlign w:val="center"/>
          </w:tcPr>
          <w:p>
            <w:r>
              <w:rPr>
                <w:b/>
                <w:bCs/>
                <w:color w:val="FFFFFF"/>
                <w:sz w:val="20"/>
                <w:szCs w:val="20"/>
              </w:rPr>
              <w:t xml:space="preserve">Key Findings</w:t>
            </w:r>
          </w:p>
        </w:tc>
        <w:tc>
          <w:tcPr>
            <w:tcW w:type="dxa" w:w="1100"/>
            <w:shd w:fill="4472C4" w:val="clear"/>
            <w:vAlign w:val="center"/>
          </w:tcPr>
          <w:p>
            <w:r>
              <w:rPr>
                <w:b/>
                <w:bCs/>
                <w:color w:val="FFFFFF"/>
                <w:sz w:val="20"/>
                <w:szCs w:val="20"/>
              </w:rPr>
              <w:t xml:space="preserve">Research Gap</w:t>
            </w:r>
          </w:p>
        </w:tc>
      </w:tr>
      <w:tr>
        <w:tc>
          <w:tcPr>
            <w:tcW w:type="dxa" w:w="900"/>
            <w:shd w:fill="FFFFFF" w:val="clear"/>
          </w:tcPr>
          <w:p>
            <w:r>
              <w:rPr>
                <w:sz w:val="20"/>
                <w:szCs w:val="20"/>
              </w:rPr>
              <w:t xml:space="preserve"/>
            </w:r>
          </w:p>
        </w:tc>
        <w:tc>
          <w:tcPr>
            <w:tcW w:type="dxa" w:w="900"/>
            <w:shd w:fill="FFFFFF" w:val="clear"/>
          </w:tcPr>
          <w:p>
            <w:r>
              <w:rPr>
                <w:sz w:val="20"/>
                <w:szCs w:val="20"/>
              </w:rPr>
              <w:t xml:space="preserve"/>
            </w:r>
          </w:p>
        </w:tc>
        <w:tc>
          <w:tcPr>
            <w:tcW w:type="dxa" w:w="900"/>
            <w:shd w:fill="FFFFFF" w:val="clear"/>
          </w:tcPr>
          <w:p>
            <w:r>
              <w:rPr>
                <w:sz w:val="20"/>
                <w:szCs w:val="20"/>
              </w:rPr>
              <w:t xml:space="preserve"/>
            </w:r>
          </w:p>
        </w:tc>
        <w:tc>
          <w:tcPr>
            <w:tcW w:type="dxa" w:w="1000"/>
            <w:shd w:fill="FFFFFF" w:val="clear"/>
          </w:tcPr>
          <w:p>
            <w:r>
              <w:rPr>
                <w:sz w:val="20"/>
                <w:szCs w:val="20"/>
              </w:rPr>
              <w:t xml:space="preserve"/>
            </w:r>
          </w:p>
        </w:tc>
        <w:tc>
          <w:tcPr>
            <w:tcW w:type="dxa" w:w="900"/>
            <w:shd w:fill="FFFFFF" w:val="clear"/>
          </w:tcPr>
          <w:p>
            <w:r>
              <w:rPr>
                <w:sz w:val="20"/>
                <w:szCs w:val="20"/>
              </w:rPr>
              <w:t xml:space="preserve"/>
            </w:r>
          </w:p>
        </w:tc>
        <w:tc>
          <w:tcPr>
            <w:tcW w:type="dxa" w:w="1100"/>
            <w:shd w:fill="FFFFFF" w:val="clear"/>
          </w:tcPr>
          <w:p>
            <w:r>
              <w:rPr>
                <w:sz w:val="20"/>
                <w:szCs w:val="20"/>
              </w:rPr>
              <w:t xml:space="preserve"/>
            </w:r>
          </w:p>
        </w:tc>
        <w:tc>
          <w:tcPr>
            <w:tcW w:type="dxa" w:w="1000"/>
            <w:shd w:fill="FFFFFF" w:val="clear"/>
          </w:tcPr>
          <w:p>
            <w:r>
              <w:rPr>
                <w:sz w:val="20"/>
                <w:szCs w:val="20"/>
              </w:rPr>
              <w:t xml:space="preserve"/>
            </w:r>
          </w:p>
        </w:tc>
        <w:tc>
          <w:tcPr>
            <w:tcW w:type="dxa" w:w="1200"/>
            <w:shd w:fill="FFFFFF" w:val="clear"/>
          </w:tcPr>
          <w:p>
            <w:r>
              <w:rPr>
                <w:sz w:val="20"/>
                <w:szCs w:val="20"/>
              </w:rPr>
              <w:t xml:space="preserve"/>
            </w:r>
          </w:p>
        </w:tc>
        <w:tc>
          <w:tcPr>
            <w:tcW w:type="dxa" w:w="1100"/>
            <w:shd w:fill="FFFFFF" w:val="clear"/>
          </w:tcPr>
          <w:p>
            <w:r>
              <w:rPr>
                <w:sz w:val="20"/>
                <w:szCs w:val="20"/>
              </w:rPr>
              <w:t xml:space="preserve"/>
            </w:r>
          </w:p>
        </w:tc>
      </w:tr>
    </w:tbl>
    <w:p>
      <w:pPr>
        <w:spacing w:after="150"/>
      </w:pPr>
    </w:p>
    <w:p>
      <w:pPr>
        <w:spacing w:after="200"/>
      </w:pPr>
      <w:r>
        <w:t xml:space="preserve">This matrix will be updated continuously as new literature is reviewed.</w:t>
      </w:r>
    </w:p>
    <w:p>
      <w:pPr>
        <w:pStyle w:val="Heading2"/>
        <w:spacing w:after="150" w:before="300"/>
      </w:pPr>
      <w:r>
        <w:t xml:space="preserve">8. Gap Identification Strategy</w:t>
      </w:r>
    </w:p>
    <w:p>
      <w:pPr>
        <w:spacing w:after="200"/>
      </w:pPr>
      <w:r>
        <w:t xml:space="preserve">Rather than identifying weaknesses in individual studies, the review will focus on broader trends. Particular attention will be given to whether previous research:</w:t>
      </w:r>
    </w:p>
    <w:p>
      <w:pPr>
        <w:pStyle w:val="ListParagraph"/>
        <w:numPr>
          <w:ilvl w:val="0"/>
          <w:numId w:val="1"/>
        </w:numPr>
        <w:spacing w:after="100"/>
      </w:pPr>
      <w:r>
        <w:t xml:space="preserve">evaluates prediction stability,</w:t>
      </w:r>
    </w:p>
    <w:p>
      <w:pPr>
        <w:pStyle w:val="ListParagraph"/>
        <w:numPr>
          <w:ilvl w:val="0"/>
          <w:numId w:val="1"/>
        </w:numPr>
        <w:spacing w:after="100"/>
      </w:pPr>
      <w:r>
        <w:t xml:space="preserve">analyses different student performance groups,</w:t>
      </w:r>
    </w:p>
    <w:p>
      <w:pPr>
        <w:pStyle w:val="ListParagraph"/>
        <w:numPr>
          <w:ilvl w:val="0"/>
          <w:numId w:val="1"/>
        </w:numPr>
        <w:spacing w:after="100"/>
      </w:pPr>
      <w:r>
        <w:t xml:space="preserve">investigates temporal changes in prediction behaviour,</w:t>
      </w:r>
    </w:p>
    <w:p>
      <w:pPr>
        <w:pStyle w:val="ListParagraph"/>
        <w:numPr>
          <w:ilvl w:val="0"/>
          <w:numId w:val="1"/>
        </w:numPr>
        <w:spacing w:after="100"/>
      </w:pPr>
      <w:r>
        <w:t xml:space="preserve">applies explainable AI to educational interpretation, and</w:t>
      </w:r>
    </w:p>
    <w:p>
      <w:pPr>
        <w:pStyle w:val="ListParagraph"/>
        <w:numPr>
          <w:ilvl w:val="0"/>
          <w:numId w:val="1"/>
        </w:numPr>
        <w:spacing w:after="100"/>
      </w:pPr>
      <w:r>
        <w:t xml:space="preserve">provides guidance for responsible educational intervention.</w:t>
      </w:r>
    </w:p>
    <w:p>
      <w:pPr>
        <w:spacing w:after="200"/>
      </w:pPr>
      <w:r>
        <w:t xml:space="preserve">The synthesis will demonstrate that existing work primarily emphasises predictive accuracy while offering limited guidance on prediction trustworthiness and educational decision-making.</w:t>
      </w:r>
    </w:p>
    <w:p>
      <w:pPr>
        <w:pStyle w:val="Heading2"/>
        <w:spacing w:after="150" w:before="300"/>
      </w:pPr>
      <w:r>
        <w:t xml:space="preserve">9. Claude Literature Search Prompt</w:t>
      </w:r>
    </w:p>
    <w:p>
      <w:pPr>
        <w:pStyle w:val="Heading3"/>
        <w:spacing w:after="120" w:before="200"/>
      </w:pPr>
      <w:r>
        <w:t xml:space="preserve">Objective</w:t>
      </w:r>
    </w:p>
    <w:p>
      <w:pPr>
        <w:spacing w:after="200"/>
      </w:pPr>
      <w:r>
        <w:t xml:space="preserve">Conduct a comprehensive literature review on early student performance prediction and trustworthy learning analytics.</w:t>
      </w:r>
    </w:p>
    <w:p>
      <w:pPr>
        <w:pStyle w:val="Heading3"/>
        <w:spacing w:after="120" w:before="200"/>
      </w:pPr>
      <w:r>
        <w:t xml:space="preserve">Search Scope</w:t>
      </w:r>
    </w:p>
    <w:p>
      <w:pPr>
        <w:spacing w:after="200"/>
      </w:pPr>
      <w:r>
        <w:t xml:space="preserve">Search only reputable academic sources including:</w:t>
      </w:r>
    </w:p>
    <w:p>
      <w:pPr>
        <w:pStyle w:val="ListParagraph"/>
        <w:numPr>
          <w:ilvl w:val="0"/>
          <w:numId w:val="1"/>
        </w:numPr>
        <w:spacing w:after="100"/>
      </w:pPr>
      <w:r>
        <w:t xml:space="preserve">IEEE Xplore</w:t>
      </w:r>
    </w:p>
    <w:p>
      <w:pPr>
        <w:pStyle w:val="ListParagraph"/>
        <w:numPr>
          <w:ilvl w:val="0"/>
          <w:numId w:val="1"/>
        </w:numPr>
        <w:spacing w:after="100"/>
      </w:pPr>
      <w:r>
        <w:t xml:space="preserve">ACM Digital Library</w:t>
      </w:r>
    </w:p>
    <w:p>
      <w:pPr>
        <w:pStyle w:val="ListParagraph"/>
        <w:numPr>
          <w:ilvl w:val="0"/>
          <w:numId w:val="1"/>
        </w:numPr>
        <w:spacing w:after="100"/>
      </w:pPr>
      <w:r>
        <w:t xml:space="preserve">SpringerLink</w:t>
      </w:r>
    </w:p>
    <w:p>
      <w:pPr>
        <w:pStyle w:val="ListParagraph"/>
        <w:numPr>
          <w:ilvl w:val="0"/>
          <w:numId w:val="1"/>
        </w:numPr>
        <w:spacing w:after="100"/>
      </w:pPr>
      <w:r>
        <w:t xml:space="preserve">ScienceDirect</w:t>
      </w:r>
    </w:p>
    <w:p>
      <w:pPr>
        <w:pStyle w:val="ListParagraph"/>
        <w:numPr>
          <w:ilvl w:val="0"/>
          <w:numId w:val="1"/>
        </w:numPr>
        <w:spacing w:after="100"/>
      </w:pPr>
      <w:r>
        <w:t xml:space="preserve">Elsevier</w:t>
      </w:r>
    </w:p>
    <w:p>
      <w:pPr>
        <w:pStyle w:val="ListParagraph"/>
        <w:numPr>
          <w:ilvl w:val="0"/>
          <w:numId w:val="1"/>
        </w:numPr>
        <w:spacing w:after="100"/>
      </w:pPr>
      <w:r>
        <w:t xml:space="preserve">Wiley</w:t>
      </w:r>
    </w:p>
    <w:p>
      <w:pPr>
        <w:pStyle w:val="ListParagraph"/>
        <w:numPr>
          <w:ilvl w:val="0"/>
          <w:numId w:val="1"/>
        </w:numPr>
        <w:spacing w:after="100"/>
      </w:pPr>
      <w:r>
        <w:t xml:space="preserve">Taylor &amp; Francis</w:t>
      </w:r>
    </w:p>
    <w:p>
      <w:pPr>
        <w:pStyle w:val="ListParagraph"/>
        <w:numPr>
          <w:ilvl w:val="0"/>
          <w:numId w:val="1"/>
        </w:numPr>
        <w:spacing w:after="100"/>
      </w:pPr>
      <w:r>
        <w:t xml:space="preserve">Learning Analytics and Knowledge (LAK)</w:t>
      </w:r>
    </w:p>
    <w:p>
      <w:pPr>
        <w:pStyle w:val="ListParagraph"/>
        <w:numPr>
          <w:ilvl w:val="0"/>
          <w:numId w:val="1"/>
        </w:numPr>
        <w:spacing w:after="100"/>
      </w:pPr>
      <w:r>
        <w:t xml:space="preserve">Educational Data Mining (EDM)</w:t>
      </w:r>
    </w:p>
    <w:p>
      <w:pPr>
        <w:pStyle w:val="ListParagraph"/>
        <w:numPr>
          <w:ilvl w:val="0"/>
          <w:numId w:val="1"/>
        </w:numPr>
        <w:spacing w:after="100"/>
      </w:pPr>
      <w:r>
        <w:t xml:space="preserve">IEEE TALE</w:t>
      </w:r>
    </w:p>
    <w:p>
      <w:pPr>
        <w:pStyle w:val="ListParagraph"/>
        <w:numPr>
          <w:ilvl w:val="0"/>
          <w:numId w:val="1"/>
        </w:numPr>
        <w:spacing w:after="100"/>
      </w:pPr>
      <w:r>
        <w:t xml:space="preserve">Computers &amp; Education</w:t>
      </w:r>
    </w:p>
    <w:p>
      <w:pPr>
        <w:pStyle w:val="ListParagraph"/>
        <w:numPr>
          <w:ilvl w:val="0"/>
          <w:numId w:val="1"/>
        </w:numPr>
        <w:spacing w:after="100"/>
      </w:pPr>
      <w:r>
        <w:t xml:space="preserve">IEEE Access</w:t>
      </w:r>
    </w:p>
    <w:p>
      <w:pPr>
        <w:pStyle w:val="Heading3"/>
        <w:spacing w:after="120" w:before="200"/>
      </w:pPr>
      <w:r>
        <w:t xml:space="preserve">Research Themes</w:t>
      </w:r>
    </w:p>
    <w:p>
      <w:pPr>
        <w:pStyle w:val="ListParagraph"/>
        <w:numPr>
          <w:ilvl w:val="0"/>
          <w:numId w:val="2"/>
        </w:numPr>
        <w:spacing w:after="100"/>
      </w:pPr>
      <w:r>
        <w:t xml:space="preserve">Learning Analytics</w:t>
      </w:r>
    </w:p>
    <w:p>
      <w:pPr>
        <w:pStyle w:val="ListParagraph"/>
        <w:numPr>
          <w:ilvl w:val="0"/>
          <w:numId w:val="2"/>
        </w:numPr>
        <w:spacing w:after="100"/>
      </w:pPr>
      <w:r>
        <w:t xml:space="preserve">Educational Data Mining</w:t>
      </w:r>
    </w:p>
    <w:p>
      <w:pPr>
        <w:pStyle w:val="ListParagraph"/>
        <w:numPr>
          <w:ilvl w:val="0"/>
          <w:numId w:val="2"/>
        </w:numPr>
        <w:spacing w:after="100"/>
      </w:pPr>
      <w:r>
        <w:t xml:space="preserve">Student Performance Prediction</w:t>
      </w:r>
    </w:p>
    <w:p>
      <w:pPr>
        <w:pStyle w:val="ListParagraph"/>
        <w:numPr>
          <w:ilvl w:val="0"/>
          <w:numId w:val="2"/>
        </w:numPr>
        <w:spacing w:after="100"/>
      </w:pPr>
      <w:r>
        <w:t xml:space="preserve">Early Warning Systems</w:t>
      </w:r>
    </w:p>
    <w:p>
      <w:pPr>
        <w:pStyle w:val="ListParagraph"/>
        <w:numPr>
          <w:ilvl w:val="0"/>
          <w:numId w:val="2"/>
        </w:numPr>
        <w:spacing w:after="100"/>
      </w:pPr>
      <w:r>
        <w:t xml:space="preserve">Explainable AI (especially SHAP)</w:t>
      </w:r>
    </w:p>
    <w:p>
      <w:pPr>
        <w:pStyle w:val="ListParagraph"/>
        <w:numPr>
          <w:ilvl w:val="0"/>
          <w:numId w:val="2"/>
        </w:numPr>
        <w:spacing w:after="100"/>
      </w:pPr>
      <w:r>
        <w:t xml:space="preserve">Trustworthy AI and Responsible AI in Education</w:t>
      </w:r>
    </w:p>
    <w:p>
      <w:pPr>
        <w:pStyle w:val="ListParagraph"/>
        <w:numPr>
          <w:ilvl w:val="0"/>
          <w:numId w:val="2"/>
        </w:numPr>
        <w:spacing w:after="100"/>
      </w:pPr>
      <w:r>
        <w:t xml:space="preserve">Temporal Prediction Models</w:t>
      </w:r>
    </w:p>
    <w:p>
      <w:pPr>
        <w:pStyle w:val="Heading3"/>
        <w:spacing w:after="120" w:before="200"/>
      </w:pPr>
      <w:r>
        <w:t xml:space="preserve">For each paper provide</w:t>
      </w:r>
    </w:p>
    <w:p>
      <w:pPr>
        <w:pStyle w:val="ListParagraph"/>
        <w:numPr>
          <w:ilvl w:val="0"/>
          <w:numId w:val="1"/>
        </w:numPr>
        <w:spacing w:after="100"/>
      </w:pPr>
      <w:r>
        <w:t xml:space="preserve">Full citation (APA and IEEE)</w:t>
      </w:r>
    </w:p>
    <w:p>
      <w:pPr>
        <w:pStyle w:val="ListParagraph"/>
        <w:numPr>
          <w:ilvl w:val="0"/>
          <w:numId w:val="1"/>
        </w:numPr>
        <w:spacing w:after="100"/>
      </w:pPr>
      <w:r>
        <w:t xml:space="preserve">DOI or official URL</w:t>
      </w:r>
    </w:p>
    <w:p>
      <w:pPr>
        <w:pStyle w:val="ListParagraph"/>
        <w:numPr>
          <w:ilvl w:val="0"/>
          <w:numId w:val="1"/>
        </w:numPr>
        <w:spacing w:after="100"/>
      </w:pPr>
      <w:r>
        <w:t xml:space="preserve">Publication year</w:t>
      </w:r>
    </w:p>
    <w:p>
      <w:pPr>
        <w:pStyle w:val="ListParagraph"/>
        <w:numPr>
          <w:ilvl w:val="0"/>
          <w:numId w:val="1"/>
        </w:numPr>
        <w:spacing w:after="100"/>
      </w:pPr>
      <w:r>
        <w:t xml:space="preserve">Venue</w:t>
      </w:r>
    </w:p>
    <w:p>
      <w:pPr>
        <w:pStyle w:val="ListParagraph"/>
        <w:numPr>
          <w:ilvl w:val="0"/>
          <w:numId w:val="1"/>
        </w:numPr>
        <w:spacing w:after="100"/>
      </w:pPr>
      <w:r>
        <w:t xml:space="preserve">Research objective</w:t>
      </w:r>
    </w:p>
    <w:p>
      <w:pPr>
        <w:pStyle w:val="ListParagraph"/>
        <w:numPr>
          <w:ilvl w:val="0"/>
          <w:numId w:val="1"/>
        </w:numPr>
        <w:spacing w:after="100"/>
      </w:pPr>
      <w:r>
        <w:t xml:space="preserve">Dataset</w:t>
      </w:r>
    </w:p>
    <w:p>
      <w:pPr>
        <w:pStyle w:val="ListParagraph"/>
        <w:numPr>
          <w:ilvl w:val="0"/>
          <w:numId w:val="1"/>
        </w:numPr>
        <w:spacing w:after="100"/>
      </w:pPr>
      <w:r>
        <w:t xml:space="preserve">Features used</w:t>
      </w:r>
    </w:p>
    <w:p>
      <w:pPr>
        <w:pStyle w:val="ListParagraph"/>
        <w:numPr>
          <w:ilvl w:val="0"/>
          <w:numId w:val="1"/>
        </w:numPr>
        <w:spacing w:after="100"/>
      </w:pPr>
      <w:r>
        <w:t xml:space="preserve">Prediction model(s)</w:t>
      </w:r>
    </w:p>
    <w:p>
      <w:pPr>
        <w:pStyle w:val="ListParagraph"/>
        <w:numPr>
          <w:ilvl w:val="0"/>
          <w:numId w:val="1"/>
        </w:numPr>
        <w:spacing w:after="100"/>
      </w:pPr>
      <w:r>
        <w:t xml:space="preserve">Explainability technique</w:t>
      </w:r>
    </w:p>
    <w:p>
      <w:pPr>
        <w:pStyle w:val="ListParagraph"/>
        <w:numPr>
          <w:ilvl w:val="0"/>
          <w:numId w:val="1"/>
        </w:numPr>
        <w:spacing w:after="100"/>
      </w:pPr>
      <w:r>
        <w:t xml:space="preserve">Evaluation metrics</w:t>
      </w:r>
    </w:p>
    <w:p>
      <w:pPr>
        <w:pStyle w:val="ListParagraph"/>
        <w:numPr>
          <w:ilvl w:val="0"/>
          <w:numId w:val="1"/>
        </w:numPr>
        <w:spacing w:after="100"/>
      </w:pPr>
      <w:r>
        <w:t xml:space="preserve">Key findings</w:t>
      </w:r>
    </w:p>
    <w:p>
      <w:pPr>
        <w:pStyle w:val="ListParagraph"/>
        <w:numPr>
          <w:ilvl w:val="0"/>
          <w:numId w:val="1"/>
        </w:numPr>
        <w:spacing w:after="100"/>
      </w:pPr>
      <w:r>
        <w:t xml:space="preserve">Limitations</w:t>
      </w:r>
    </w:p>
    <w:p>
      <w:pPr>
        <w:pStyle w:val="ListParagraph"/>
        <w:numPr>
          <w:ilvl w:val="0"/>
          <w:numId w:val="1"/>
        </w:numPr>
        <w:spacing w:after="100"/>
      </w:pPr>
      <w:r>
        <w:t xml:space="preserve">Relevance to this research</w:t>
      </w:r>
    </w:p>
    <w:p>
      <w:pPr>
        <w:pStyle w:val="Heading3"/>
        <w:spacing w:after="120" w:before="200"/>
      </w:pPr>
      <w:r>
        <w:t xml:space="preserve">Then produce</w:t>
      </w:r>
    </w:p>
    <w:p>
      <w:pPr>
        <w:pStyle w:val="ListParagraph"/>
        <w:numPr>
          <w:ilvl w:val="0"/>
          <w:numId w:val="1"/>
        </w:numPr>
        <w:spacing w:after="100"/>
      </w:pPr>
      <w:r>
        <w:t xml:space="preserve">A thematic synthesis organised by research theme.</w:t>
      </w:r>
    </w:p>
    <w:p>
      <w:pPr>
        <w:pStyle w:val="ListParagraph"/>
        <w:numPr>
          <w:ilvl w:val="0"/>
          <w:numId w:val="1"/>
        </w:numPr>
        <w:spacing w:after="100"/>
      </w:pPr>
      <w:r>
        <w:t xml:space="preserve">A comparison table across studies.</w:t>
      </w:r>
    </w:p>
    <w:p>
      <w:pPr>
        <w:pStyle w:val="ListParagraph"/>
        <w:numPr>
          <w:ilvl w:val="0"/>
          <w:numId w:val="1"/>
        </w:numPr>
        <w:spacing w:after="100"/>
      </w:pPr>
      <w:r>
        <w:t xml:space="preserve">A summary of unresolved research gaps.</w:t>
      </w:r>
    </w:p>
    <w:p>
      <w:pPr>
        <w:pStyle w:val="ListParagraph"/>
        <w:numPr>
          <w:ilvl w:val="0"/>
          <w:numId w:val="1"/>
        </w:numPr>
        <w:spacing w:after="100"/>
      </w:pPr>
      <w:r>
        <w:t xml:space="preserve">Suggestions for positioning the proposed framework.</w:t>
      </w:r>
    </w:p>
    <w:p>
      <w:pPr>
        <w:pStyle w:val="ListParagraph"/>
        <w:numPr>
          <w:ilvl w:val="0"/>
          <w:numId w:val="1"/>
        </w:numPr>
        <w:spacing w:after="100"/>
      </w:pPr>
      <w:r>
        <w:t xml:space="preserve">Clearly identify uncertain references instead of inventing citations.</w:t>
      </w:r>
    </w:p>
    <w:p>
      <w:pPr>
        <w:pStyle w:val="Heading2"/>
        <w:spacing w:after="150" w:before="300"/>
      </w:pPr>
      <w:r>
        <w:t xml:space="preserve">10. Expected Deliverables</w:t>
      </w:r>
    </w:p>
    <w:p>
      <w:pPr>
        <w:spacing w:after="200"/>
      </w:pPr>
      <w:r>
        <w:t xml:space="preserve">The literature review process should produce:</w:t>
      </w:r>
    </w:p>
    <w:p>
      <w:pPr>
        <w:pStyle w:val="ListParagraph"/>
        <w:numPr>
          <w:ilvl w:val="0"/>
          <w:numId w:val="1"/>
        </w:numPr>
        <w:spacing w:after="100"/>
      </w:pPr>
      <w:r>
        <w:t xml:space="preserve">A curated library of high-quality papers.</w:t>
      </w:r>
    </w:p>
    <w:p>
      <w:pPr>
        <w:pStyle w:val="ListParagraph"/>
        <w:numPr>
          <w:ilvl w:val="0"/>
          <w:numId w:val="1"/>
        </w:numPr>
        <w:spacing w:after="100"/>
      </w:pPr>
      <w:r>
        <w:t xml:space="preserve">A completed literature matrix.</w:t>
      </w:r>
    </w:p>
    <w:p>
      <w:pPr>
        <w:pStyle w:val="ListParagraph"/>
        <w:numPr>
          <w:ilvl w:val="0"/>
          <w:numId w:val="1"/>
        </w:numPr>
        <w:spacing w:after="100"/>
      </w:pPr>
      <w:r>
        <w:t xml:space="preserve">Thematic synthesis notes.</w:t>
      </w:r>
    </w:p>
    <w:p>
      <w:pPr>
        <w:pStyle w:val="ListParagraph"/>
        <w:numPr>
          <w:ilvl w:val="0"/>
          <w:numId w:val="1"/>
        </w:numPr>
        <w:spacing w:after="100"/>
      </w:pPr>
      <w:r>
        <w:t xml:space="preserve">A gap analysis aligned with RQ1 and RQ2.</w:t>
      </w:r>
    </w:p>
    <w:p>
      <w:pPr>
        <w:pStyle w:val="ListParagraph"/>
        <w:numPr>
          <w:ilvl w:val="0"/>
          <w:numId w:val="1"/>
        </w:numPr>
        <w:spacing w:after="100"/>
      </w:pPr>
      <w:r>
        <w:t xml:space="preserve">A verified IEEE reference list.</w:t>
      </w:r>
    </w:p>
    <w:p>
      <w:pPr>
        <w:spacing w:after="200"/>
      </w:pPr>
      <w:r>
        <w:t xml:space="preserve">These outputs will support both the dissertation literature review and the related work section of the IEEE TALE paper.</w:t>
      </w:r>
    </w:p>
    <w:p>
      <w:pPr>
        <w:pStyle w:val="Heading2"/>
        <w:spacing w:after="150" w:before="300"/>
      </w:pPr>
      <w:r>
        <w:t xml:space="preserve">11. Transition to Part D</w:t>
      </w:r>
    </w:p>
    <w:p>
      <w:pPr>
        <w:spacing w:after="200"/>
      </w:pPr>
      <w:r>
        <w:t xml:space="preserve">Part D will integrate Parts A, B, and C into a single research strategy handbook with document control, version history, table of contents, cross-references, and appendices. This handbook will become a living document that supports the conference paper, dissertation, and future journal extension.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Research Strategy &amp; Design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lowerLetter"/>
      <w:lvlText w:val="%2."/>
      <w:lvlJc w:val="star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2026-07-19T09:33:07.178Z</dcterms:created>
  <dcterms:modified xsi:type="dcterms:W3CDTF">2026-07-19T09:33:07.191Z</dcterms:modified>
</cp:coreProperties>
</file>

<file path=docProps/custom.xml><?xml version="1.0" encoding="utf-8"?>
<Properties xmlns="http://schemas.openxmlformats.org/officeDocument/2006/custom-properties" xmlns:vt="http://schemas.openxmlformats.org/officeDocument/2006/docPropsVTypes"/>
</file>