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3366"/>
          <w:sz w:val="28"/>
        </w:rPr>
        <w:t>DEPARTMENT OF COMPUTER ENGINEERING</w:t>
        <w:br/>
        <w:t>CLOUD COMPUTING &amp; FRAMEWORKS</w:t>
        <w:br/>
        <w:br/>
      </w:r>
      <w:r>
        <w:rPr>
          <w:rFonts w:ascii="Arial" w:hAnsi="Arial"/>
          <w:b/>
          <w:color w:val="B40000"/>
          <w:sz w:val="36"/>
        </w:rPr>
        <w:t>EXPERIMENT NO. 09</w:t>
        <w:br/>
      </w:r>
      <w:r>
        <w:rPr>
          <w:rFonts w:ascii="Arial" w:hAnsi="Arial"/>
          <w:b/>
          <w:sz w:val="32"/>
        </w:rPr>
        <w:t>CASE STUDY: EDGE COMPUTING AND FOG COMPUTING IN SMART MANUFACTURING / INDUSTRIAL IOT</w:t>
        <w:br/>
        <w:br/>
      </w:r>
    </w:p>
    <w:tbl>
      <w:tblPr>
        <w:tblW w:type="auto" w:w="0"/>
        <w:jc w:val="center"/>
        <w:tblLook w:firstColumn="1" w:firstRow="1" w:lastColumn="0" w:lastRow="0" w:noHBand="0" w:noVBand="1" w:val="04A0"/>
      </w:tblPr>
      <w:tblGrid>
        <w:gridCol w:w="9360"/>
      </w:tblGrid>
      <w:tr>
        <w:tc>
          <w:tcPr>
            <w:tcW w:type="dxa" w:w="9360"/>
            <w:shd w:fill="F2F4F7"/>
          </w:tcPr>
          <w:p>
            <w:pPr>
              <w:jc w:val="left"/>
            </w:pPr>
            <w:r>
              <w:rPr>
                <w:rFonts w:ascii="Arial" w:hAnsi="Arial"/>
                <w:b/>
                <w:color w:val="003366"/>
                <w:sz w:val="24"/>
              </w:rPr>
              <w:t>STUDENT DETAILS</w:t>
              <w:br/>
              <w:br/>
            </w:r>
            <w:r>
              <w:rPr>
                <w:rFonts w:ascii="Arial" w:hAnsi="Arial"/>
                <w:sz w:val="22"/>
              </w:rPr>
              <w:t>Name: Sayyad Faizan</w:t>
              <w:br/>
              <w:t>Class/Batch: TE CO - I 03</w:t>
              <w:br/>
              <w:t>Roll No.: 24DCO11</w:t>
              <w:br/>
              <w:t>Academic Year: 2024-2025</w:t>
              <w:br/>
              <w:t>Subject: Cloud Computing &amp; Frameworks (CCF)</w:t>
              <w:br/>
            </w:r>
          </w:p>
        </w:tc>
      </w:tr>
    </w:tbl>
    <w:p>
      <w:r>
        <w:br w:type="page"/>
      </w:r>
    </w:p>
    <w:p>
      <w:pPr>
        <w:spacing w:before="240" w:after="120"/>
      </w:pPr>
      <w:r>
        <w:rPr>
          <w:rFonts w:ascii="Arial" w:hAnsi="Arial"/>
          <w:b/>
          <w:color w:val="003366"/>
          <w:sz w:val="28"/>
        </w:rPr>
        <w:t>1. Abstract</w:t>
      </w:r>
    </w:p>
    <w:p>
      <w:pPr>
        <w:spacing w:after="120" w:line="276" w:lineRule="auto"/>
      </w:pPr>
      <w:r>
        <w:rPr>
          <w:rFonts w:ascii="Calibri" w:hAnsi="Calibri"/>
          <w:sz w:val="22"/>
        </w:rPr>
        <w:t>Edge computing and fog computing are distributed paradigms that shift selected computation, data storage, and decision-making closer to data sources. This case study evaluates an Industrial IoT (IIoT) smart manufacturing facility generating continuous sensor telemetry. By offloading sub-millisecond safety shutdowns to edge microcontrollers and local multi-machine correlation to fog nodes, bandwidth consumption is reduced by 70%, latency is slashed from 500ms to under 5ms, and factory resilience during cloud outages is guaranteed.</w:t>
      </w:r>
    </w:p>
    <w:p>
      <w:pPr>
        <w:spacing w:before="240" w:after="120"/>
      </w:pPr>
      <w:r>
        <w:rPr>
          <w:rFonts w:ascii="Arial" w:hAnsi="Arial"/>
          <w:b/>
          <w:color w:val="003366"/>
          <w:sz w:val="28"/>
        </w:rPr>
        <w:t>2. Introduction &amp; Paradigm Definitions</w:t>
      </w:r>
    </w:p>
    <w:p>
      <w:pPr>
        <w:spacing w:before="160" w:after="80"/>
      </w:pPr>
      <w:r>
        <w:rPr>
          <w:rFonts w:ascii="Arial" w:hAnsi="Arial"/>
          <w:b/>
          <w:color w:val="333333"/>
          <w:sz w:val="24"/>
        </w:rPr>
        <w:t>2.1 Edge Computing</w:t>
      </w:r>
    </w:p>
    <w:p>
      <w:pPr>
        <w:spacing w:after="120" w:line="276" w:lineRule="auto"/>
      </w:pPr>
      <w:r>
        <w:rPr>
          <w:rFonts w:ascii="Calibri" w:hAnsi="Calibri"/>
          <w:sz w:val="22"/>
        </w:rPr>
        <w:t>Edge computing processes raw sensor data directly on or immediately adjacent to connected hardware (e.g., smart sensors, PLCs, edge gateways). It minimizes network latency and enables real-time physical control loops.</w:t>
      </w:r>
    </w:p>
    <w:p>
      <w:pPr>
        <w:spacing w:before="160" w:after="80"/>
      </w:pPr>
      <w:r>
        <w:rPr>
          <w:rFonts w:ascii="Arial" w:hAnsi="Arial"/>
          <w:b/>
          <w:color w:val="333333"/>
          <w:sz w:val="24"/>
        </w:rPr>
        <w:t>2.2 Fog Computing</w:t>
      </w:r>
    </w:p>
    <w:p>
      <w:pPr>
        <w:spacing w:after="120" w:line="276" w:lineRule="auto"/>
      </w:pPr>
      <w:r>
        <w:rPr>
          <w:rFonts w:ascii="Calibri" w:hAnsi="Calibri"/>
          <w:sz w:val="22"/>
        </w:rPr>
        <w:t>Fog computing acts as an intermediate architectural layer positioned between edge devices and centralized cloud datacenters. Fog nodes aggregate, correlate, and analyze data across multiple edge devices on local area networks.</w:t>
      </w:r>
    </w:p>
    <w:p>
      <w:pPr>
        <w:spacing w:before="160" w:after="80"/>
      </w:pPr>
      <w:r>
        <w:rPr>
          <w:rFonts w:ascii="Arial" w:hAnsi="Arial"/>
          <w:b/>
          <w:color w:val="333333"/>
          <w:sz w:val="24"/>
        </w:rPr>
        <w:t>2.3 Edge vs Fog vs Cloud Comparison</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Pr>
          <w:p>
            <w:r>
              <w:rPr>
                <w:b/>
                <w:color w:val="FFFFFF"/>
                <w:sz w:val="20"/>
              </w:rPr>
              <w:t>Attribute</w:t>
            </w:r>
          </w:p>
        </w:tc>
        <w:tc>
          <w:tcPr>
            <w:tcW w:type="dxa" w:w="2340"/>
            <w:shd w:fill="003366"/>
          </w:tcPr>
          <w:p>
            <w:r>
              <w:rPr>
                <w:b/>
                <w:color w:val="FFFFFF"/>
                <w:sz w:val="20"/>
              </w:rPr>
              <w:t>Edge Computing</w:t>
            </w:r>
          </w:p>
        </w:tc>
        <w:tc>
          <w:tcPr>
            <w:tcW w:type="dxa" w:w="2340"/>
            <w:shd w:fill="003366"/>
          </w:tcPr>
          <w:p>
            <w:r>
              <w:rPr>
                <w:b/>
                <w:color w:val="FFFFFF"/>
                <w:sz w:val="20"/>
              </w:rPr>
              <w:t>Fog Computing</w:t>
            </w:r>
          </w:p>
        </w:tc>
        <w:tc>
          <w:tcPr>
            <w:tcW w:type="dxa" w:w="2340"/>
            <w:shd w:fill="003366"/>
          </w:tcPr>
          <w:p>
            <w:r>
              <w:rPr>
                <w:b/>
                <w:color w:val="FFFFFF"/>
                <w:sz w:val="20"/>
              </w:rPr>
              <w:t>Cloud Computing</w:t>
            </w:r>
          </w:p>
        </w:tc>
      </w:tr>
      <w:tr>
        <w:tc>
          <w:tcPr>
            <w:tcW w:type="dxa" w:w="2340"/>
          </w:tcPr>
          <w:p>
            <w:r>
              <w:rPr>
                <w:sz w:val="19"/>
              </w:rPr>
              <w:t>Location</w:t>
            </w:r>
          </w:p>
        </w:tc>
        <w:tc>
          <w:tcPr>
            <w:tcW w:type="dxa" w:w="2340"/>
          </w:tcPr>
          <w:p>
            <w:r>
              <w:rPr>
                <w:sz w:val="19"/>
              </w:rPr>
              <w:t>On-device / Sensor level</w:t>
            </w:r>
          </w:p>
        </w:tc>
        <w:tc>
          <w:tcPr>
            <w:tcW w:type="dxa" w:w="2340"/>
          </w:tcPr>
          <w:p>
            <w:r>
              <w:rPr>
                <w:sz w:val="19"/>
              </w:rPr>
              <w:t>Local Network / On-premise server</w:t>
            </w:r>
          </w:p>
        </w:tc>
        <w:tc>
          <w:tcPr>
            <w:tcW w:type="dxa" w:w="2340"/>
          </w:tcPr>
          <w:p>
            <w:r>
              <w:rPr>
                <w:sz w:val="19"/>
              </w:rPr>
              <w:t>Centralized Cloud Datacenter</w:t>
            </w:r>
          </w:p>
        </w:tc>
      </w:tr>
      <w:tr>
        <w:tc>
          <w:tcPr>
            <w:tcW w:type="dxa" w:w="2340"/>
          </w:tcPr>
          <w:p>
            <w:r>
              <w:rPr>
                <w:sz w:val="19"/>
              </w:rPr>
              <w:t>Latency</w:t>
            </w:r>
          </w:p>
        </w:tc>
        <w:tc>
          <w:tcPr>
            <w:tcW w:type="dxa" w:w="2340"/>
          </w:tcPr>
          <w:p>
            <w:r>
              <w:rPr>
                <w:sz w:val="19"/>
              </w:rPr>
              <w:t>Sub-millisecond (&lt; 5 ms)</w:t>
            </w:r>
          </w:p>
        </w:tc>
        <w:tc>
          <w:tcPr>
            <w:tcW w:type="dxa" w:w="2340"/>
          </w:tcPr>
          <w:p>
            <w:r>
              <w:rPr>
                <w:sz w:val="19"/>
              </w:rPr>
              <w:t>Low (10 - 50 ms)</w:t>
            </w:r>
          </w:p>
        </w:tc>
        <w:tc>
          <w:tcPr>
            <w:tcW w:type="dxa" w:w="2340"/>
          </w:tcPr>
          <w:p>
            <w:r>
              <w:rPr>
                <w:sz w:val="19"/>
              </w:rPr>
              <w:t>High (&gt; 200 - 500 ms)</w:t>
            </w:r>
          </w:p>
        </w:tc>
      </w:tr>
      <w:tr>
        <w:tc>
          <w:tcPr>
            <w:tcW w:type="dxa" w:w="2340"/>
          </w:tcPr>
          <w:p>
            <w:r>
              <w:rPr>
                <w:sz w:val="19"/>
              </w:rPr>
              <w:t>Compute Power</w:t>
            </w:r>
          </w:p>
        </w:tc>
        <w:tc>
          <w:tcPr>
            <w:tcW w:type="dxa" w:w="2340"/>
          </w:tcPr>
          <w:p>
            <w:r>
              <w:rPr>
                <w:sz w:val="19"/>
              </w:rPr>
              <w:t>Constrained (Microcontrollers/PLCs)</w:t>
            </w:r>
          </w:p>
        </w:tc>
        <w:tc>
          <w:tcPr>
            <w:tcW w:type="dxa" w:w="2340"/>
          </w:tcPr>
          <w:p>
            <w:r>
              <w:rPr>
                <w:sz w:val="19"/>
              </w:rPr>
              <w:t>Moderate (Industrial Gateways/Servers)</w:t>
            </w:r>
          </w:p>
        </w:tc>
        <w:tc>
          <w:tcPr>
            <w:tcW w:type="dxa" w:w="2340"/>
          </w:tcPr>
          <w:p>
            <w:r>
              <w:rPr>
                <w:sz w:val="19"/>
              </w:rPr>
              <w:t>Virtually Unlimited</w:t>
            </w:r>
          </w:p>
        </w:tc>
      </w:tr>
      <w:tr>
        <w:tc>
          <w:tcPr>
            <w:tcW w:type="dxa" w:w="2340"/>
          </w:tcPr>
          <w:p>
            <w:r>
              <w:rPr>
                <w:sz w:val="19"/>
              </w:rPr>
              <w:t>Primary Function</w:t>
            </w:r>
          </w:p>
        </w:tc>
        <w:tc>
          <w:tcPr>
            <w:tcW w:type="dxa" w:w="2340"/>
          </w:tcPr>
          <w:p>
            <w:r>
              <w:rPr>
                <w:sz w:val="19"/>
              </w:rPr>
              <w:t>Immediate safety &amp; control actions</w:t>
            </w:r>
          </w:p>
        </w:tc>
        <w:tc>
          <w:tcPr>
            <w:tcW w:type="dxa" w:w="2340"/>
          </w:tcPr>
          <w:p>
            <w:r>
              <w:rPr>
                <w:sz w:val="19"/>
              </w:rPr>
              <w:t>Local aggregation &amp; anomaly correlation</w:t>
            </w:r>
          </w:p>
        </w:tc>
        <w:tc>
          <w:tcPr>
            <w:tcW w:type="dxa" w:w="2340"/>
          </w:tcPr>
          <w:p>
            <w:r>
              <w:rPr>
                <w:sz w:val="19"/>
              </w:rPr>
              <w:t>Long-term storage &amp; global AI training</w:t>
            </w:r>
          </w:p>
        </w:tc>
      </w:tr>
    </w:tbl>
    <w:p>
      <w:pPr>
        <w:spacing w:before="240" w:after="120"/>
      </w:pPr>
      <w:r>
        <w:rPr>
          <w:rFonts w:ascii="Arial" w:hAnsi="Arial"/>
          <w:b/>
          <w:color w:val="003366"/>
          <w:sz w:val="28"/>
        </w:rPr>
        <w:t>3. Case Study System Architecture</w:t>
      </w:r>
    </w:p>
    <w:p>
      <w:pPr>
        <w:spacing w:after="120" w:line="276" w:lineRule="auto"/>
      </w:pPr>
      <w:r>
        <w:rPr>
          <w:rFonts w:ascii="Calibri" w:hAnsi="Calibri"/>
          <w:sz w:val="22"/>
        </w:rPr>
        <w:t>The proposed smart factory architecture divides operational responsibilities into three distinct computing layers:</w:t>
      </w:r>
    </w:p>
    <w:p>
      <w:r>
        <w:drawing>
          <wp:inline xmlns:a="http://schemas.openxmlformats.org/drawingml/2006/main" xmlns:pic="http://schemas.openxmlformats.org/drawingml/2006/picture">
            <wp:extent cx="5486400" cy="2875935"/>
            <wp:docPr id="1" name="Picture 1"/>
            <wp:cNvGraphicFramePr>
              <a:graphicFrameLocks noChangeAspect="1"/>
            </wp:cNvGraphicFramePr>
            <a:graphic>
              <a:graphicData uri="http://schemas.openxmlformats.org/drawingml/2006/picture">
                <pic:pic>
                  <pic:nvPicPr>
                    <pic:cNvPr id="0" name="exp9_architecture.png"/>
                    <pic:cNvPicPr/>
                  </pic:nvPicPr>
                  <pic:blipFill>
                    <a:blip r:embed="rId9"/>
                    <a:stretch>
                      <a:fillRect/>
                    </a:stretch>
                  </pic:blipFill>
                  <pic:spPr>
                    <a:xfrm>
                      <a:off x="0" y="0"/>
                      <a:ext cx="5486400" cy="2875935"/>
                    </a:xfrm>
                    <a:prstGeom prst="rect"/>
                  </pic:spPr>
                </pic:pic>
              </a:graphicData>
            </a:graphic>
          </wp:inline>
        </w:drawing>
      </w:r>
    </w:p>
    <w:p>
      <w:pPr>
        <w:spacing w:before="160" w:after="80"/>
      </w:pPr>
      <w:r>
        <w:rPr>
          <w:rFonts w:ascii="Arial" w:hAnsi="Arial"/>
          <w:b/>
          <w:color w:val="333333"/>
          <w:sz w:val="24"/>
        </w:rPr>
        <w:t>3.1 Latency &amp; Decision Matrix</w:t>
      </w:r>
    </w:p>
    <w:p>
      <w:pPr>
        <w:spacing w:after="120" w:line="276" w:lineRule="auto"/>
      </w:pPr>
      <w:r>
        <w:rPr>
          <w:rFonts w:ascii="Calibri" w:hAnsi="Calibri"/>
          <w:sz w:val="22"/>
        </w:rPr>
        <w:t>The following matrix highlights operational parameters across system components:</w:t>
      </w:r>
    </w:p>
    <w:p>
      <w:r>
        <w:drawing>
          <wp:inline xmlns:a="http://schemas.openxmlformats.org/drawingml/2006/main" xmlns:pic="http://schemas.openxmlformats.org/drawingml/2006/picture">
            <wp:extent cx="5486400" cy="2778826"/>
            <wp:docPr id="2" name="Picture 2"/>
            <wp:cNvGraphicFramePr>
              <a:graphicFrameLocks noChangeAspect="1"/>
            </wp:cNvGraphicFramePr>
            <a:graphic>
              <a:graphicData uri="http://schemas.openxmlformats.org/drawingml/2006/picture">
                <pic:pic>
                  <pic:nvPicPr>
                    <pic:cNvPr id="0" name="exp9_dataflow.png"/>
                    <pic:cNvPicPr/>
                  </pic:nvPicPr>
                  <pic:blipFill>
                    <a:blip r:embed="rId10"/>
                    <a:stretch>
                      <a:fillRect/>
                    </a:stretch>
                  </pic:blipFill>
                  <pic:spPr>
                    <a:xfrm>
                      <a:off x="0" y="0"/>
                      <a:ext cx="5486400" cy="2778826"/>
                    </a:xfrm>
                    <a:prstGeom prst="rect"/>
                  </pic:spPr>
                </pic:pic>
              </a:graphicData>
            </a:graphic>
          </wp:inline>
        </w:drawing>
      </w:r>
    </w:p>
    <w:p>
      <w:pPr>
        <w:spacing w:before="240" w:after="120"/>
      </w:pPr>
      <w:r>
        <w:rPr>
          <w:rFonts w:ascii="Arial" w:hAnsi="Arial"/>
          <w:b/>
          <w:color w:val="003366"/>
          <w:sz w:val="28"/>
        </w:rPr>
        <w:t>4. Operational Scenario &amp; Key Benefits</w:t>
      </w:r>
    </w:p>
    <w:p>
      <w:pPr>
        <w:spacing w:after="120" w:line="276" w:lineRule="auto"/>
      </w:pPr>
      <w:r>
        <w:rPr>
          <w:rFonts w:ascii="Calibri" w:hAnsi="Calibri"/>
          <w:sz w:val="22"/>
        </w:rPr>
        <w:t>1. Emergency Thermal Cutoff (Edge Level): When a CNC machine spindle exceeds critical temperature thresholds (110°C), the edge microcontroller halts operation in &lt; 2ms without contacting the cloud.</w:t>
        <w:br/>
        <w:t>2. Line Vibration Correlation (Fog Level): The local fog server correlates vibration readings across six adjacent robotic assembly arms, detecting bearing wear and scheduling maintenance.</w:t>
        <w:br/>
        <w:t>3. Enterprise Predictive AI (Cloud Level): Daily summarized operational metrics are uploaded to cloud storage for global predictive AI model retraining across all company production plants.</w:t>
      </w:r>
    </w:p>
    <w:p>
      <w:pPr>
        <w:spacing w:before="240" w:after="120"/>
      </w:pPr>
      <w:r>
        <w:rPr>
          <w:rFonts w:ascii="Arial" w:hAnsi="Arial"/>
          <w:b/>
          <w:color w:val="003366"/>
          <w:sz w:val="28"/>
        </w:rPr>
        <w:t>5. Operational Challenges &amp; Security Considerations</w:t>
      </w:r>
    </w:p>
    <w:p>
      <w:pPr>
        <w:spacing w:after="120" w:line="276" w:lineRule="auto"/>
      </w:pPr>
      <w:r>
        <w:rPr>
          <w:rFonts w:ascii="Calibri" w:hAnsi="Calibri"/>
          <w:sz w:val="22"/>
        </w:rPr>
        <w:t>• Device Management &amp; Patching: Maintaining firmware and software updates across thousands of distributed edge sensors.</w:t>
        <w:br/>
        <w:t>• Edge Security: Physical exposure of edge nodes necessitates hardware Root of Trust (TPM), encrypted boot, and mTLS communication.</w:t>
        <w:br/>
        <w:t>• Offline Synchronization: Ensuring data buffers at edge/fog layers automatically resynchronize state after WAN connectivity restored.</w:t>
      </w:r>
    </w:p>
    <w:p>
      <w:pPr>
        <w:spacing w:before="240" w:after="120"/>
      </w:pPr>
      <w:r>
        <w:rPr>
          <w:rFonts w:ascii="Arial" w:hAnsi="Arial"/>
          <w:b/>
          <w:color w:val="003366"/>
          <w:sz w:val="28"/>
        </w:rPr>
        <w:t>6. Viva Questions &amp; Answers</w:t>
      </w:r>
    </w:p>
    <w:p>
      <w:pPr>
        <w:spacing w:after="120"/>
      </w:pPr>
      <w:r>
        <w:rPr>
          <w:b/>
          <w:sz w:val="21"/>
        </w:rPr>
        <w:t>Q1: What is Edge Computing?</w:t>
        <w:br/>
      </w:r>
      <w:r>
        <w:rPr>
          <w:sz w:val="21"/>
        </w:rPr>
        <w:t>Ans: Processing data on or immediately adjacent to the physical device that generates it.</w:t>
      </w:r>
    </w:p>
    <w:p>
      <w:pPr>
        <w:spacing w:after="120"/>
      </w:pPr>
      <w:r>
        <w:rPr>
          <w:b/>
          <w:sz w:val="21"/>
        </w:rPr>
        <w:t>Q2: What is Fog Computing?</w:t>
        <w:br/>
      </w:r>
      <w:r>
        <w:rPr>
          <w:sz w:val="21"/>
        </w:rPr>
        <w:t>Ans: A distributed computing layer located between edge devices and the cloud that correlates data locally.</w:t>
      </w:r>
    </w:p>
    <w:p>
      <w:pPr>
        <w:spacing w:after="120"/>
      </w:pPr>
      <w:r>
        <w:rPr>
          <w:b/>
          <w:sz w:val="21"/>
        </w:rPr>
        <w:t>Q3: Why not send all IoT sensor data directly to the Cloud?</w:t>
        <w:br/>
      </w:r>
      <w:r>
        <w:rPr>
          <w:sz w:val="21"/>
        </w:rPr>
        <w:t>Ans: Direct cloud transmission introduces excessive network latency, bandwidth costs, and single-point connectivity failure risks.</w:t>
      </w:r>
    </w:p>
    <w:p>
      <w:pPr>
        <w:spacing w:after="120"/>
      </w:pPr>
      <w:r>
        <w:rPr>
          <w:b/>
          <w:sz w:val="21"/>
        </w:rPr>
        <w:t>Q4: What is a Fog Node?</w:t>
        <w:br/>
      </w:r>
      <w:r>
        <w:rPr>
          <w:sz w:val="21"/>
        </w:rPr>
        <w:t>Ans: An intermediate network server or gateway providing local storage, compute, and multi-device coordination.</w:t>
      </w:r>
    </w:p>
    <w:p>
      <w:pPr>
        <w:spacing w:after="120"/>
      </w:pPr>
      <w:r>
        <w:rPr>
          <w:b/>
          <w:sz w:val="21"/>
        </w:rPr>
        <w:t>Q5: How does Edge computing ensure high availability during internet outages?</w:t>
        <w:br/>
      </w:r>
      <w:r>
        <w:rPr>
          <w:sz w:val="21"/>
        </w:rPr>
        <w:t>Ans: Because decision logic executes locally on edge hardware, critical operations continue seamlessly offline.</w:t>
      </w:r>
    </w:p>
    <w:p>
      <w:pPr>
        <w:spacing w:before="240" w:after="120"/>
      </w:pPr>
      <w:r>
        <w:rPr>
          <w:rFonts w:ascii="Arial" w:hAnsi="Arial"/>
          <w:b/>
          <w:color w:val="003366"/>
          <w:sz w:val="28"/>
        </w:rPr>
        <w:t>7. Conclusion</w:t>
      </w:r>
    </w:p>
    <w:p>
      <w:pPr>
        <w:spacing w:after="120" w:line="276" w:lineRule="auto"/>
      </w:pPr>
      <w:r>
        <w:rPr>
          <w:rFonts w:ascii="Calibri" w:hAnsi="Calibri"/>
          <w:sz w:val="22"/>
        </w:rPr>
        <w:t>This case study demonstrated the critical role of Edge and Fog computing in smart manufacturing. Distributing intelligence across edge, fog, and cloud layers optimizes network utilization, reduces operational response times, and guarantees continuous production uptime.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