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pPr>
      <w:r>
        <w:rPr>
          <w:b/>
          <w:bCs/>
          <w:color w:val="A84227"/>
          <w:sz w:val="22"/>
          <w:szCs w:val="22"/>
        </w:rPr>
        <w:t xml:space="preserve">FINTECHATHON 2026 · INTERNATIONAL TRACK · TOPIC E</w:t>
      </w:r>
    </w:p>
    <w:p>
      <w:pPr>
        <w:spacing w:after="160"/>
      </w:pPr>
      <w:r>
        <w:rPr>
          <w:b/>
          <w:bCs/>
          <w:color w:val="29292D"/>
          <w:sz w:val="64"/>
          <w:szCs w:val="64"/>
        </w:rPr>
        <w:t xml:space="preserve">SME Finance Copilot</w:t>
      </w:r>
    </w:p>
    <w:p>
      <w:pPr>
        <w:spacing w:after="600"/>
      </w:pPr>
      <w:r>
        <w:rPr>
          <w:color w:val="57534F"/>
          <w:sz w:val="36"/>
          <w:szCs w:val="36"/>
        </w:rPr>
        <w:t xml:space="preserve">Application documentation</w:t>
      </w:r>
    </w:p>
    <w:p>
      <w:pPr>
        <w:spacing w:after="140" w:line="288"/>
      </w:pPr>
      <w:r>
        <w:t xml:space="preserve">An AI finance copilot for small businesses in Bangladesh. It analyses the business, forecasts cash and warns early, matches financing options, prepares actions, watches market prices near the shop, and never moves money without the owner.</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D9D2CA" w:sz="4"/>
              <w:left w:val="single" w:color="D9D2CA" w:sz="4"/>
              <w:bottom w:val="single" w:color="D9D2CA" w:sz="4"/>
              <w:right w:val="single" w:color="D9D2CA" w:sz="4"/>
            </w:tcBorders>
            <w:shd w:fill="FBE9E0" w:color="auto" w:val="clear"/>
            <w:tcMar>
              <w:top w:type="dxa" w:w="60"/>
              <w:left w:type="dxa" w:w="100"/>
              <w:bottom w:type="dxa" w:w="60"/>
              <w:right w:type="dxa" w:w="100"/>
            </w:tcMar>
          </w:tcPr>
          <w:p>
            <w:pPr>
              <w:spacing w:after="0" w:line="264"/>
            </w:pPr>
            <w:r>
              <w:rPr>
                <w:b/>
                <w:bCs/>
              </w:rPr>
              <w:t xml:space="preserve">Item</w:t>
            </w:r>
          </w:p>
        </w:tc>
        <w:tc>
          <w:tcPr>
            <w:tcW w:type="dxa" w:w="7228"/>
            <w:tcBorders>
              <w:top w:val="single" w:color="D9D2CA" w:sz="4"/>
              <w:left w:val="single" w:color="D9D2CA" w:sz="4"/>
              <w:bottom w:val="single" w:color="D9D2CA" w:sz="4"/>
              <w:right w:val="single" w:color="D9D2CA" w:sz="4"/>
            </w:tcBorders>
            <w:shd w:fill="FBE9E0" w:color="auto" w:val="clear"/>
            <w:tcMar>
              <w:top w:type="dxa" w:w="60"/>
              <w:left w:type="dxa" w:w="100"/>
              <w:bottom w:type="dxa" w:w="60"/>
              <w:right w:type="dxa" w:w="100"/>
            </w:tcMar>
          </w:tcPr>
          <w:p>
            <w:pPr>
              <w:spacing w:after="0" w:line="264"/>
            </w:pPr>
            <w:r>
              <w:rPr>
                <w:b/>
                <w:bCs/>
              </w:rPr>
              <w:t xml:space="preserve">Detail</w:t>
            </w:r>
          </w:p>
        </w:tc>
      </w:tr>
      <w:tr>
        <w:tc>
          <w:tcPr>
            <w:tcW w:type="dxa" w:w="2410"/>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Team</w:t>
            </w:r>
          </w:p>
        </w:tc>
        <w:tc>
          <w:tcPr>
            <w:tcW w:type="dxa" w:w="7228"/>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[Team name] · [Member names] · [Universities]</w:t>
            </w:r>
          </w:p>
        </w:tc>
      </w:tr>
      <w:tr>
        <w:tc>
          <w:tcPr>
            <w:tcW w:type="dxa" w:w="2410"/>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Repository</w:t>
            </w:r>
          </w:p>
        </w:tc>
        <w:tc>
          <w:tcPr>
            <w:tcW w:type="dxa" w:w="7228"/>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https://github.com/SazidFaruk-web/sme-finance-copilot</w:t>
            </w:r>
          </w:p>
        </w:tc>
      </w:tr>
      <w:tr>
        <w:tc>
          <w:tcPr>
            <w:tcW w:type="dxa" w:w="2410"/>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Version</w:t>
            </w:r>
          </w:p>
        </w:tc>
        <w:tc>
          <w:tcPr>
            <w:tcW w:type="dxa" w:w="7228"/>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19 October 2026</w:t>
            </w:r>
          </w:p>
        </w:tc>
      </w:tr>
      <w:tr>
        <w:tc>
          <w:tcPr>
            <w:tcW w:type="dxa" w:w="2410"/>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Languages</w:t>
            </w:r>
          </w:p>
        </w:tc>
        <w:tc>
          <w:tcPr>
            <w:tcW w:type="dxa" w:w="7228"/>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English, বাংলা (Bangla), Banglish and 中文 (Simplified Chinese)</w:t>
            </w:r>
          </w:p>
        </w:tc>
      </w:tr>
    </w:tbl>
    <w:p>
      <w:pPr>
        <w:pBdr>
          <w:left w:val="single" w:color="A84227" w:sz="18" w:space="8"/>
        </w:pBdr>
        <w:shd w:fill="FBE9E0" w:color="auto" w:val="clear"/>
        <w:spacing w:after="200" w:before="120" w:line="288"/>
        <w:ind w:left="160" w:right="160"/>
      </w:pPr>
      <w:r>
        <w:rPr>
          <w:b/>
          <w:bCs/>
        </w:rPr>
        <w:t xml:space="preserve">How to use this document.</w:t>
      </w:r>
      <w:r>
        <w:t xml:space="preserve"> It describes the whole app in one place. Copy any section into your submission documents; the repository's docs folder has the detailed versions (technical documentation, security self-assessment, test report, execution evidence). Text in [square brackets] is for you to fill in.</w:t>
      </w:r>
    </w:p>
    <w:p>
      <w:r>
        <w:br w:type="page"/>
      </w:r>
    </w:p>
    <w:p>
      <w:pPr>
        <w:spacing w:after="200"/>
      </w:pPr>
      <w:r>
        <w:rPr>
          <w:b/>
          <w:bCs/>
          <w:color w:val="29292D"/>
          <w:sz w:val="32"/>
          <w:szCs w:val="32"/>
        </w:rPr>
        <w:t xml:space="preserve">Contents</w:t>
      </w:r>
    </w:p>
    <w:sdt>
      <w:sdtPr>
        <w:alias w:val="Contents"/>
      </w:sdtPr>
      <w:sdtContent>
        <w:p>
          <w:pPr>
            <w:pStyle w:val="TOC1"/>
            <w:tabs>
              <w:tab w:val="right" w:pos="9638" w:leader="dot"/>
            </w:tabs>
          </w:pPr>
          <w:r>
            <w:fldChar w:fldCharType="begin" w:dirty="true"/>
            <w:instrText xml:space="preserve">TOC \h \o "1-2"</w:instrText>
            <w:fldChar w:fldCharType="separate"/>
          </w:r>
          <w:hyperlink w:history="1" w:anchor="_Toc1">
            <w:r>
              <w:t xml:space="preserve">1. Overview</w:t>
            </w:r>
            <w:r>
              <w:tab/>
            </w:r>
            <w:r>
              <w:fldChar w:fldCharType="begin" w:dirty="true"/>
              <w:instrText xml:space="preserve">PAGEREF _Toc1 \h</w:instrText>
              <w:fldChar w:fldCharType="separate"/>
              <w:fldChar w:fldCharType="end"/>
            </w:r>
          </w:hyperlink>
        </w:p>
        <w:p>
          <w:pPr>
            <w:pStyle w:val="TOC2"/>
            <w:tabs>
              <w:tab w:val="right" w:pos="9638" w:leader="dot"/>
            </w:tabs>
            <w:ind w:left="220"/>
          </w:pPr>
          <w:hyperlink w:history="1" w:anchor="_Toc2">
            <w:r>
              <w:t xml:space="preserve">1.1 What it is</w:t>
            </w:r>
            <w:r>
              <w:tab/>
            </w:r>
            <w:r>
              <w:fldChar w:fldCharType="begin" w:dirty="true"/>
              <w:instrText xml:space="preserve">PAGEREF _Toc2 \h</w:instrText>
              <w:fldChar w:fldCharType="separate"/>
              <w:fldChar w:fldCharType="end"/>
            </w:r>
          </w:hyperlink>
        </w:p>
        <w:p>
          <w:pPr>
            <w:pStyle w:val="TOC2"/>
            <w:tabs>
              <w:tab w:val="right" w:pos="9638" w:leader="dot"/>
            </w:tabs>
            <w:ind w:left="220"/>
          </w:pPr>
          <w:hyperlink w:history="1" w:anchor="_Toc3">
            <w:r>
              <w:t xml:space="preserve">1.2 Who it is for</w:t>
            </w:r>
            <w:r>
              <w:tab/>
            </w:r>
            <w:r>
              <w:fldChar w:fldCharType="begin" w:dirty="true"/>
              <w:instrText xml:space="preserve">PAGEREF _Toc3 \h</w:instrText>
              <w:fldChar w:fldCharType="separate"/>
              <w:fldChar w:fldCharType="end"/>
            </w:r>
          </w:hyperlink>
        </w:p>
        <w:p>
          <w:pPr>
            <w:pStyle w:val="TOC2"/>
            <w:tabs>
              <w:tab w:val="right" w:pos="9638" w:leader="dot"/>
            </w:tabs>
            <w:ind w:left="220"/>
          </w:pPr>
          <w:hyperlink w:history="1" w:anchor="_Toc4">
            <w:r>
              <w:t xml:space="preserve">1.3 How it meets Topic E</w:t>
            </w:r>
            <w:r>
              <w:tab/>
            </w:r>
            <w:r>
              <w:fldChar w:fldCharType="begin" w:dirty="true"/>
              <w:instrText xml:space="preserve">PAGEREF _Toc4 \h</w:instrText>
              <w:fldChar w:fldCharType="separate"/>
              <w:fldChar w:fldCharType="end"/>
            </w:r>
          </w:hyperlink>
        </w:p>
        <w:p>
          <w:pPr>
            <w:pStyle w:val="TOC2"/>
            <w:tabs>
              <w:tab w:val="right" w:pos="9638" w:leader="dot"/>
            </w:tabs>
            <w:ind w:left="220"/>
          </w:pPr>
          <w:hyperlink w:history="1" w:anchor="_Toc5">
            <w:r>
              <w:t xml:space="preserve">1.4 How it addresses the scoring criteria</w:t>
            </w:r>
            <w:r>
              <w:tab/>
            </w:r>
            <w:r>
              <w:fldChar w:fldCharType="begin" w:dirty="true"/>
              <w:instrText xml:space="preserve">PAGEREF _Toc5 \h</w:instrText>
              <w:fldChar w:fldCharType="separate"/>
              <w:fldChar w:fldCharType="end"/>
            </w:r>
          </w:hyperlink>
        </w:p>
        <w:p>
          <w:pPr>
            <w:pStyle w:val="TOC1"/>
            <w:tabs>
              <w:tab w:val="right" w:pos="9638" w:leader="dot"/>
            </w:tabs>
          </w:pPr>
          <w:hyperlink w:history="1" w:anchor="_Toc6">
            <w:r>
              <w:t xml:space="preserve">2. Features</w:t>
            </w:r>
            <w:r>
              <w:tab/>
            </w:r>
            <w:r>
              <w:fldChar w:fldCharType="begin" w:dirty="true"/>
              <w:instrText xml:space="preserve">PAGEREF _Toc6 \h</w:instrText>
              <w:fldChar w:fldCharType="separate"/>
              <w:fldChar w:fldCharType="end"/>
            </w:r>
          </w:hyperlink>
        </w:p>
        <w:p>
          <w:pPr>
            <w:pStyle w:val="TOC2"/>
            <w:tabs>
              <w:tab w:val="right" w:pos="9638" w:leader="dot"/>
            </w:tabs>
            <w:ind w:left="220"/>
          </w:pPr>
          <w:hyperlink w:history="1" w:anchor="_Toc7">
            <w:r>
              <w:t xml:space="preserve">2.1 Guided Home and navigation</w:t>
            </w:r>
            <w:r>
              <w:tab/>
            </w:r>
            <w:r>
              <w:fldChar w:fldCharType="begin" w:dirty="true"/>
              <w:instrText xml:space="preserve">PAGEREF _Toc7 \h</w:instrText>
              <w:fldChar w:fldCharType="separate"/>
              <w:fldChar w:fldCharType="end"/>
            </w:r>
          </w:hyperlink>
        </w:p>
        <w:p>
          <w:pPr>
            <w:pStyle w:val="TOC2"/>
            <w:tabs>
              <w:tab w:val="right" w:pos="9638" w:leader="dot"/>
            </w:tabs>
            <w:ind w:left="220"/>
          </w:pPr>
          <w:hyperlink w:history="1" w:anchor="_Toc8">
            <w:r>
              <w:t xml:space="preserve">2.2 Accounts, onboarding and tips</w:t>
            </w:r>
            <w:r>
              <w:tab/>
            </w:r>
            <w:r>
              <w:fldChar w:fldCharType="begin" w:dirty="true"/>
              <w:instrText xml:space="preserve">PAGEREF _Toc8 \h</w:instrText>
              <w:fldChar w:fldCharType="separate"/>
              <w:fldChar w:fldCharType="end"/>
            </w:r>
          </w:hyperlink>
        </w:p>
        <w:p>
          <w:pPr>
            <w:pStyle w:val="TOC2"/>
            <w:tabs>
              <w:tab w:val="right" w:pos="9638" w:leader="dot"/>
            </w:tabs>
            <w:ind w:left="220"/>
          </w:pPr>
          <w:hyperlink w:history="1" w:anchor="_Toc9">
            <w:r>
              <w:t xml:space="preserve">2.3 Recording money</w:t>
            </w:r>
            <w:r>
              <w:tab/>
            </w:r>
            <w:r>
              <w:fldChar w:fldCharType="begin" w:dirty="true"/>
              <w:instrText xml:space="preserve">PAGEREF _Toc9 \h</w:instrText>
              <w:fldChar w:fldCharType="separate"/>
              <w:fldChar w:fldCharType="end"/>
            </w:r>
          </w:hyperlink>
        </w:p>
        <w:p>
          <w:pPr>
            <w:pStyle w:val="TOC2"/>
            <w:tabs>
              <w:tab w:val="right" w:pos="9638" w:leader="dot"/>
            </w:tabs>
            <w:ind w:left="220"/>
          </w:pPr>
          <w:hyperlink w:history="1" w:anchor="_Toc10">
            <w:r>
              <w:t xml:space="preserve">2.4 Analysis and reports</w:t>
            </w:r>
            <w:r>
              <w:tab/>
            </w:r>
            <w:r>
              <w:fldChar w:fldCharType="begin" w:dirty="true"/>
              <w:instrText xml:space="preserve">PAGEREF _Toc10 \h</w:instrText>
              <w:fldChar w:fldCharType="separate"/>
              <w:fldChar w:fldCharType="end"/>
            </w:r>
          </w:hyperlink>
        </w:p>
        <w:p>
          <w:pPr>
            <w:pStyle w:val="TOC2"/>
            <w:tabs>
              <w:tab w:val="right" w:pos="9638" w:leader="dot"/>
            </w:tabs>
            <w:ind w:left="220"/>
          </w:pPr>
          <w:hyperlink w:history="1" w:anchor="_Toc11">
            <w:r>
              <w:t xml:space="preserve">2.5 Cash forecast, what-if and alerts</w:t>
            </w:r>
            <w:r>
              <w:tab/>
            </w:r>
            <w:r>
              <w:fldChar w:fldCharType="begin" w:dirty="true"/>
              <w:instrText xml:space="preserve">PAGEREF _Toc11 \h</w:instrText>
              <w:fldChar w:fldCharType="separate"/>
              <w:fldChar w:fldCharType="end"/>
            </w:r>
          </w:hyperlink>
        </w:p>
        <w:p>
          <w:pPr>
            <w:pStyle w:val="TOC2"/>
            <w:tabs>
              <w:tab w:val="right" w:pos="9638" w:leader="dot"/>
            </w:tabs>
            <w:ind w:left="220"/>
          </w:pPr>
          <w:hyperlink w:history="1" w:anchor="_Toc12">
            <w:r>
              <w:t xml:space="preserve">2.6 Financing</w:t>
            </w:r>
            <w:r>
              <w:tab/>
            </w:r>
            <w:r>
              <w:fldChar w:fldCharType="begin" w:dirty="true"/>
              <w:instrText xml:space="preserve">PAGEREF _Toc12 \h</w:instrText>
              <w:fldChar w:fldCharType="separate"/>
              <w:fldChar w:fldCharType="end"/>
            </w:r>
          </w:hyperlink>
        </w:p>
        <w:p>
          <w:pPr>
            <w:pStyle w:val="TOC2"/>
            <w:tabs>
              <w:tab w:val="right" w:pos="9638" w:leader="dot"/>
            </w:tabs>
            <w:ind w:left="220"/>
          </w:pPr>
          <w:hyperlink w:history="1" w:anchor="_Toc13">
            <w:r>
              <w:t xml:space="preserve">2.7 Actions and sandbox payments</w:t>
            </w:r>
            <w:r>
              <w:tab/>
            </w:r>
            <w:r>
              <w:fldChar w:fldCharType="begin" w:dirty="true"/>
              <w:instrText xml:space="preserve">PAGEREF _Toc13 \h</w:instrText>
              <w:fldChar w:fldCharType="separate"/>
              <w:fldChar w:fldCharType="end"/>
            </w:r>
          </w:hyperlink>
        </w:p>
        <w:p>
          <w:pPr>
            <w:pStyle w:val="TOC2"/>
            <w:tabs>
              <w:tab w:val="right" w:pos="9638" w:leader="dot"/>
            </w:tabs>
            <w:ind w:left="220"/>
          </w:pPr>
          <w:hyperlink w:history="1" w:anchor="_Toc14">
            <w:r>
              <w:t xml:space="preserve">2.8 Market prices near the shop</w:t>
            </w:r>
            <w:r>
              <w:tab/>
            </w:r>
            <w:r>
              <w:fldChar w:fldCharType="begin" w:dirty="true"/>
              <w:instrText xml:space="preserve">PAGEREF _Toc14 \h</w:instrText>
              <w:fldChar w:fldCharType="separate"/>
              <w:fldChar w:fldCharType="end"/>
            </w:r>
          </w:hyperlink>
        </w:p>
        <w:p>
          <w:pPr>
            <w:pStyle w:val="TOC2"/>
            <w:tabs>
              <w:tab w:val="right" w:pos="9638" w:leader="dot"/>
            </w:tabs>
            <w:ind w:left="220"/>
          </w:pPr>
          <w:hyperlink w:history="1" w:anchor="_Toc15">
            <w:r>
              <w:t xml:space="preserve">2.9 Languages</w:t>
            </w:r>
            <w:r>
              <w:tab/>
            </w:r>
            <w:r>
              <w:fldChar w:fldCharType="begin" w:dirty="true"/>
              <w:instrText xml:space="preserve">PAGEREF _Toc15 \h</w:instrText>
              <w:fldChar w:fldCharType="separate"/>
              <w:fldChar w:fldCharType="end"/>
            </w:r>
          </w:hyperlink>
        </w:p>
        <w:p>
          <w:pPr>
            <w:pStyle w:val="TOC2"/>
            <w:tabs>
              <w:tab w:val="right" w:pos="9638" w:leader="dot"/>
            </w:tabs>
            <w:ind w:left="220"/>
          </w:pPr>
          <w:hyperlink w:history="1" w:anchor="_Toc16">
            <w:r>
              <w:t xml:space="preserve">2.10 Bookkeeping</w:t>
            </w:r>
            <w:r>
              <w:tab/>
            </w:r>
            <w:r>
              <w:fldChar w:fldCharType="begin" w:dirty="true"/>
              <w:instrText xml:space="preserve">PAGEREF _Toc16 \h</w:instrText>
              <w:fldChar w:fldCharType="separate"/>
              <w:fldChar w:fldCharType="end"/>
            </w:r>
          </w:hyperlink>
        </w:p>
        <w:p>
          <w:pPr>
            <w:pStyle w:val="TOC1"/>
            <w:tabs>
              <w:tab w:val="right" w:pos="9638" w:leader="dot"/>
            </w:tabs>
          </w:pPr>
          <w:hyperlink w:history="1" w:anchor="_Toc17">
            <w:r>
              <w:t xml:space="preserve">3. Using the app (short user guide)</w:t>
            </w:r>
            <w:r>
              <w:tab/>
            </w:r>
            <w:r>
              <w:fldChar w:fldCharType="begin" w:dirty="true"/>
              <w:instrText xml:space="preserve">PAGEREF _Toc17 \h</w:instrText>
              <w:fldChar w:fldCharType="separate"/>
              <w:fldChar w:fldCharType="end"/>
            </w:r>
          </w:hyperlink>
        </w:p>
        <w:p>
          <w:pPr>
            <w:pStyle w:val="TOC1"/>
            <w:tabs>
              <w:tab w:val="right" w:pos="9638" w:leader="dot"/>
            </w:tabs>
          </w:pPr>
          <w:hyperlink w:history="1" w:anchor="_Toc18">
            <w:r>
              <w:t xml:space="preserve">4. System architecture</w:t>
            </w:r>
            <w:r>
              <w:tab/>
            </w:r>
            <w:r>
              <w:fldChar w:fldCharType="begin" w:dirty="true"/>
              <w:instrText xml:space="preserve">PAGEREF _Toc18 \h</w:instrText>
              <w:fldChar w:fldCharType="separate"/>
              <w:fldChar w:fldCharType="end"/>
            </w:r>
          </w:hyperlink>
        </w:p>
        <w:p>
          <w:pPr>
            <w:pStyle w:val="TOC2"/>
            <w:tabs>
              <w:tab w:val="right" w:pos="9638" w:leader="dot"/>
            </w:tabs>
            <w:ind w:left="220"/>
          </w:pPr>
          <w:hyperlink w:history="1" w:anchor="_Toc19">
            <w:r>
              <w:t xml:space="preserve">4.1 Components</w:t>
            </w:r>
            <w:r>
              <w:tab/>
            </w:r>
            <w:r>
              <w:fldChar w:fldCharType="begin" w:dirty="true"/>
              <w:instrText xml:space="preserve">PAGEREF _Toc19 \h</w:instrText>
              <w:fldChar w:fldCharType="separate"/>
              <w:fldChar w:fldCharType="end"/>
            </w:r>
          </w:hyperlink>
        </w:p>
        <w:p>
          <w:pPr>
            <w:pStyle w:val="TOC2"/>
            <w:tabs>
              <w:tab w:val="right" w:pos="9638" w:leader="dot"/>
            </w:tabs>
            <w:ind w:left="220"/>
          </w:pPr>
          <w:hyperlink w:history="1" w:anchor="_Toc20">
            <w:r>
              <w:t xml:space="preserve">4.2 How a request flows</w:t>
            </w:r>
            <w:r>
              <w:tab/>
            </w:r>
            <w:r>
              <w:fldChar w:fldCharType="begin" w:dirty="true"/>
              <w:instrText xml:space="preserve">PAGEREF _Toc20 \h</w:instrText>
              <w:fldChar w:fldCharType="separate"/>
              <w:fldChar w:fldCharType="end"/>
            </w:r>
          </w:hyperlink>
        </w:p>
        <w:p>
          <w:pPr>
            <w:pStyle w:val="TOC2"/>
            <w:tabs>
              <w:tab w:val="right" w:pos="9638" w:leader="dot"/>
            </w:tabs>
            <w:ind w:left="220"/>
          </w:pPr>
          <w:hyperlink w:history="1" w:anchor="_Toc21">
            <w:r>
              <w:t xml:space="preserve">4.3 Technology</w:t>
            </w:r>
            <w:r>
              <w:tab/>
            </w:r>
            <w:r>
              <w:fldChar w:fldCharType="begin" w:dirty="true"/>
              <w:instrText xml:space="preserve">PAGEREF _Toc21 \h</w:instrText>
              <w:fldChar w:fldCharType="separate"/>
              <w:fldChar w:fldCharType="end"/>
            </w:r>
          </w:hyperlink>
        </w:p>
        <w:p>
          <w:pPr>
            <w:pStyle w:val="TOC1"/>
            <w:tabs>
              <w:tab w:val="right" w:pos="9638" w:leader="dot"/>
            </w:tabs>
          </w:pPr>
          <w:hyperlink w:history="1" w:anchor="_Toc22">
            <w:r>
              <w:t xml:space="preserve">5. Core algorithms</w:t>
            </w:r>
            <w:r>
              <w:tab/>
            </w:r>
            <w:r>
              <w:fldChar w:fldCharType="begin" w:dirty="true"/>
              <w:instrText xml:space="preserve">PAGEREF _Toc22 \h</w:instrText>
              <w:fldChar w:fldCharType="separate"/>
              <w:fldChar w:fldCharType="end"/>
            </w:r>
          </w:hyperlink>
        </w:p>
        <w:p>
          <w:pPr>
            <w:pStyle w:val="TOC2"/>
            <w:tabs>
              <w:tab w:val="right" w:pos="9638" w:leader="dot"/>
            </w:tabs>
            <w:ind w:left="220"/>
          </w:pPr>
          <w:hyperlink w:history="1" w:anchor="_Toc23">
            <w:r>
              <w:t xml:space="preserve">5.1 Cash-flow forecast</w:t>
            </w:r>
            <w:r>
              <w:tab/>
            </w:r>
            <w:r>
              <w:fldChar w:fldCharType="begin" w:dirty="true"/>
              <w:instrText xml:space="preserve">PAGEREF _Toc23 \h</w:instrText>
              <w:fldChar w:fldCharType="separate"/>
              <w:fldChar w:fldCharType="end"/>
            </w:r>
          </w:hyperlink>
        </w:p>
        <w:p>
          <w:pPr>
            <w:pStyle w:val="TOC2"/>
            <w:tabs>
              <w:tab w:val="right" w:pos="9638" w:leader="dot"/>
            </w:tabs>
            <w:ind w:left="220"/>
          </w:pPr>
          <w:hyperlink w:history="1" w:anchor="_Toc24">
            <w:r>
              <w:t xml:space="preserve">5.2 Financing matcher</w:t>
            </w:r>
            <w:r>
              <w:tab/>
            </w:r>
            <w:r>
              <w:fldChar w:fldCharType="begin" w:dirty="true"/>
              <w:instrText xml:space="preserve">PAGEREF _Toc24 \h</w:instrText>
              <w:fldChar w:fldCharType="separate"/>
              <w:fldChar w:fldCharType="end"/>
            </w:r>
          </w:hyperlink>
        </w:p>
        <w:p>
          <w:pPr>
            <w:pStyle w:val="TOC2"/>
            <w:tabs>
              <w:tab w:val="right" w:pos="9638" w:leader="dot"/>
            </w:tabs>
            <w:ind w:left="220"/>
          </w:pPr>
          <w:hyperlink w:history="1" w:anchor="_Toc25">
            <w:r>
              <w:t xml:space="preserve">5.3 Loan-readiness score</w:t>
            </w:r>
            <w:r>
              <w:tab/>
            </w:r>
            <w:r>
              <w:fldChar w:fldCharType="begin" w:dirty="true"/>
              <w:instrText xml:space="preserve">PAGEREF _Toc25 \h</w:instrText>
              <w:fldChar w:fldCharType="separate"/>
              <w:fldChar w:fldCharType="end"/>
            </w:r>
          </w:hyperlink>
        </w:p>
        <w:p>
          <w:pPr>
            <w:pStyle w:val="TOC2"/>
            <w:tabs>
              <w:tab w:val="right" w:pos="9638" w:leader="dot"/>
            </w:tabs>
            <w:ind w:left="220"/>
          </w:pPr>
          <w:hyperlink w:history="1" w:anchor="_Toc26">
            <w:r>
              <w:t xml:space="preserve">5.4 Numeric grounding</w:t>
            </w:r>
            <w:r>
              <w:tab/>
            </w:r>
            <w:r>
              <w:fldChar w:fldCharType="begin" w:dirty="true"/>
              <w:instrText xml:space="preserve">PAGEREF _Toc26 \h</w:instrText>
              <w:fldChar w:fldCharType="separate"/>
              <w:fldChar w:fldCharType="end"/>
            </w:r>
          </w:hyperlink>
        </w:p>
        <w:p>
          <w:pPr>
            <w:pStyle w:val="TOC2"/>
            <w:tabs>
              <w:tab w:val="right" w:pos="9638" w:leader="dot"/>
            </w:tabs>
            <w:ind w:left="220"/>
          </w:pPr>
          <w:hyperlink w:history="1" w:anchor="_Toc27">
            <w:r>
              <w:t xml:space="preserve">5.5 Market price outlook</w:t>
            </w:r>
            <w:r>
              <w:tab/>
            </w:r>
            <w:r>
              <w:fldChar w:fldCharType="begin" w:dirty="true"/>
              <w:instrText xml:space="preserve">PAGEREF _Toc27 \h</w:instrText>
              <w:fldChar w:fldCharType="separate"/>
              <w:fldChar w:fldCharType="end"/>
            </w:r>
          </w:hyperlink>
        </w:p>
        <w:p>
          <w:pPr>
            <w:pStyle w:val="TOC2"/>
            <w:tabs>
              <w:tab w:val="right" w:pos="9638" w:leader="dot"/>
            </w:tabs>
            <w:ind w:left="220"/>
          </w:pPr>
          <w:hyperlink w:history="1" w:anchor="_Toc28">
            <w:r>
              <w:t xml:space="preserve">5.6 Language detection</w:t>
            </w:r>
            <w:r>
              <w:tab/>
            </w:r>
            <w:r>
              <w:fldChar w:fldCharType="begin" w:dirty="true"/>
              <w:instrText xml:space="preserve">PAGEREF _Toc28 \h</w:instrText>
              <w:fldChar w:fldCharType="separate"/>
              <w:fldChar w:fldCharType="end"/>
            </w:r>
          </w:hyperlink>
        </w:p>
        <w:p>
          <w:pPr>
            <w:pStyle w:val="TOC1"/>
            <w:tabs>
              <w:tab w:val="right" w:pos="9638" w:leader="dot"/>
            </w:tabs>
          </w:pPr>
          <w:hyperlink w:history="1" w:anchor="_Toc29">
            <w:r>
              <w:t xml:space="preserve">6. Security design</w:t>
            </w:r>
            <w:r>
              <w:tab/>
            </w:r>
            <w:r>
              <w:fldChar w:fldCharType="begin" w:dirty="true"/>
              <w:instrText xml:space="preserve">PAGEREF _Toc29 \h</w:instrText>
              <w:fldChar w:fldCharType="separate"/>
              <w:fldChar w:fldCharType="end"/>
            </w:r>
          </w:hyperlink>
        </w:p>
        <w:p>
          <w:pPr>
            <w:pStyle w:val="TOC2"/>
            <w:tabs>
              <w:tab w:val="right" w:pos="9638" w:leader="dot"/>
            </w:tabs>
            <w:ind w:left="220"/>
          </w:pPr>
          <w:hyperlink w:history="1" w:anchor="_Toc30">
            <w:r>
              <w:t xml:space="preserve">6.1 Permission tiers</w:t>
            </w:r>
            <w:r>
              <w:tab/>
            </w:r>
            <w:r>
              <w:fldChar w:fldCharType="begin" w:dirty="true"/>
              <w:instrText xml:space="preserve">PAGEREF _Toc30 \h</w:instrText>
              <w:fldChar w:fldCharType="separate"/>
              <w:fldChar w:fldCharType="end"/>
            </w:r>
          </w:hyperlink>
        </w:p>
        <w:p>
          <w:pPr>
            <w:pStyle w:val="TOC2"/>
            <w:tabs>
              <w:tab w:val="right" w:pos="9638" w:leader="dot"/>
            </w:tabs>
            <w:ind w:left="220"/>
          </w:pPr>
          <w:hyperlink w:history="1" w:anchor="_Toc31">
            <w:r>
              <w:t xml:space="preserve">6.2 Controls</w:t>
            </w:r>
            <w:r>
              <w:tab/>
            </w:r>
            <w:r>
              <w:fldChar w:fldCharType="begin" w:dirty="true"/>
              <w:instrText xml:space="preserve">PAGEREF _Toc31 \h</w:instrText>
              <w:fldChar w:fldCharType="separate"/>
              <w:fldChar w:fldCharType="end"/>
            </w:r>
          </w:hyperlink>
        </w:p>
        <w:p>
          <w:pPr>
            <w:pStyle w:val="TOC2"/>
            <w:tabs>
              <w:tab w:val="right" w:pos="9638" w:leader="dot"/>
            </w:tabs>
            <w:ind w:left="220"/>
          </w:pPr>
          <w:hyperlink w:history="1" w:anchor="_Toc32">
            <w:r>
              <w:t xml:space="preserve">6.3 Security review of 19 October 2026</w:t>
            </w:r>
            <w:r>
              <w:tab/>
            </w:r>
            <w:r>
              <w:fldChar w:fldCharType="begin" w:dirty="true"/>
              <w:instrText xml:space="preserve">PAGEREF _Toc32 \h</w:instrText>
              <w:fldChar w:fldCharType="separate"/>
              <w:fldChar w:fldCharType="end"/>
            </w:r>
          </w:hyperlink>
        </w:p>
        <w:p>
          <w:pPr>
            <w:pStyle w:val="TOC2"/>
            <w:tabs>
              <w:tab w:val="right" w:pos="9638" w:leader="dot"/>
            </w:tabs>
            <w:ind w:left="220"/>
          </w:pPr>
          <w:hyperlink w:history="1" w:anchor="_Toc33">
            <w:r>
              <w:t xml:space="preserve">6.4 Remaining risks</w:t>
            </w:r>
            <w:r>
              <w:tab/>
            </w:r>
            <w:r>
              <w:fldChar w:fldCharType="begin" w:dirty="true"/>
              <w:instrText xml:space="preserve">PAGEREF _Toc33 \h</w:instrText>
              <w:fldChar w:fldCharType="separate"/>
              <w:fldChar w:fldCharType="end"/>
            </w:r>
          </w:hyperlink>
        </w:p>
        <w:p>
          <w:pPr>
            <w:pStyle w:val="TOC1"/>
            <w:tabs>
              <w:tab w:val="right" w:pos="9638" w:leader="dot"/>
            </w:tabs>
          </w:pPr>
          <w:hyperlink w:history="1" w:anchor="_Toc34">
            <w:r>
              <w:t xml:space="preserve">7. Data, privacy and compliance</w:t>
            </w:r>
            <w:r>
              <w:tab/>
            </w:r>
            <w:r>
              <w:fldChar w:fldCharType="begin" w:dirty="true"/>
              <w:instrText xml:space="preserve">PAGEREF _Toc34 \h</w:instrText>
              <w:fldChar w:fldCharType="separate"/>
              <w:fldChar w:fldCharType="end"/>
            </w:r>
          </w:hyperlink>
        </w:p>
        <w:p>
          <w:pPr>
            <w:pStyle w:val="TOC1"/>
            <w:tabs>
              <w:tab w:val="right" w:pos="9638" w:leader="dot"/>
            </w:tabs>
          </w:pPr>
          <w:hyperlink w:history="1" w:anchor="_Toc35">
            <w:r>
              <w:t xml:space="preserve">8. Testing and evidence</w:t>
            </w:r>
            <w:r>
              <w:tab/>
            </w:r>
            <w:r>
              <w:fldChar w:fldCharType="begin" w:dirty="true"/>
              <w:instrText xml:space="preserve">PAGEREF _Toc35 \h</w:instrText>
              <w:fldChar w:fldCharType="separate"/>
              <w:fldChar w:fldCharType="end"/>
            </w:r>
          </w:hyperlink>
        </w:p>
        <w:p>
          <w:pPr>
            <w:pStyle w:val="TOC1"/>
            <w:tabs>
              <w:tab w:val="right" w:pos="9638" w:leader="dot"/>
            </w:tabs>
          </w:pPr>
          <w:hyperlink w:history="1" w:anchor="_Toc36">
            <w:r>
              <w:t xml:space="preserve">9. Installation and running</w:t>
            </w:r>
            <w:r>
              <w:tab/>
            </w:r>
            <w:r>
              <w:fldChar w:fldCharType="begin" w:dirty="true"/>
              <w:instrText xml:space="preserve">PAGEREF _Toc36 \h</w:instrText>
              <w:fldChar w:fldCharType="separate"/>
              <w:fldChar w:fldCharType="end"/>
            </w:r>
          </w:hyperlink>
        </w:p>
        <w:p>
          <w:pPr>
            <w:pStyle w:val="TOC2"/>
            <w:tabs>
              <w:tab w:val="right" w:pos="9638" w:leader="dot"/>
            </w:tabs>
            <w:ind w:left="220"/>
          </w:pPr>
          <w:hyperlink w:history="1" w:anchor="_Toc37">
            <w:r>
              <w:t xml:space="preserve">9.1 Quick start (offline, no API keys)</w:t>
            </w:r>
            <w:r>
              <w:tab/>
            </w:r>
            <w:r>
              <w:fldChar w:fldCharType="begin" w:dirty="true"/>
              <w:instrText xml:space="preserve">PAGEREF _Toc37 \h</w:instrText>
              <w:fldChar w:fldCharType="separate"/>
              <w:fldChar w:fldCharType="end"/>
            </w:r>
          </w:hyperlink>
        </w:p>
        <w:p>
          <w:pPr>
            <w:pStyle w:val="TOC2"/>
            <w:tabs>
              <w:tab w:val="right" w:pos="9638" w:leader="dot"/>
            </w:tabs>
            <w:ind w:left="220"/>
          </w:pPr>
          <w:hyperlink w:history="1" w:anchor="_Toc38">
            <w:r>
              <w:t xml:space="preserve">9.2 Windows launchers</w:t>
            </w:r>
            <w:r>
              <w:tab/>
            </w:r>
            <w:r>
              <w:fldChar w:fldCharType="begin" w:dirty="true"/>
              <w:instrText xml:space="preserve">PAGEREF _Toc38 \h</w:instrText>
              <w:fldChar w:fldCharType="separate"/>
              <w:fldChar w:fldCharType="end"/>
            </w:r>
          </w:hyperlink>
        </w:p>
        <w:p>
          <w:pPr>
            <w:pStyle w:val="TOC2"/>
            <w:tabs>
              <w:tab w:val="right" w:pos="9638" w:leader="dot"/>
            </w:tabs>
            <w:ind w:left="220"/>
          </w:pPr>
          <w:hyperlink w:history="1" w:anchor="_Toc39">
            <w:r>
              <w:t xml:space="preserve">9.3 Docker</w:t>
            </w:r>
            <w:r>
              <w:tab/>
            </w:r>
            <w:r>
              <w:fldChar w:fldCharType="begin" w:dirty="true"/>
              <w:instrText xml:space="preserve">PAGEREF _Toc39 \h</w:instrText>
              <w:fldChar w:fldCharType="separate"/>
              <w:fldChar w:fldCharType="end"/>
            </w:r>
          </w:hyperlink>
        </w:p>
        <w:p>
          <w:pPr>
            <w:pStyle w:val="TOC2"/>
            <w:tabs>
              <w:tab w:val="right" w:pos="9638" w:leader="dot"/>
            </w:tabs>
            <w:ind w:left="220"/>
          </w:pPr>
          <w:hyperlink w:history="1" w:anchor="_Toc40">
            <w:r>
              <w:t xml:space="preserve">9.4 Price forecasting model (optional, once)</w:t>
            </w:r>
            <w:r>
              <w:tab/>
            </w:r>
            <w:r>
              <w:fldChar w:fldCharType="begin" w:dirty="true"/>
              <w:instrText xml:space="preserve">PAGEREF _Toc40 \h</w:instrText>
              <w:fldChar w:fldCharType="separate"/>
              <w:fldChar w:fldCharType="end"/>
            </w:r>
          </w:hyperlink>
        </w:p>
        <w:p>
          <w:pPr>
            <w:pStyle w:val="TOC2"/>
            <w:tabs>
              <w:tab w:val="right" w:pos="9638" w:leader="dot"/>
            </w:tabs>
            <w:ind w:left="220"/>
          </w:pPr>
          <w:hyperlink w:history="1" w:anchor="_Toc41">
            <w:r>
              <w:t xml:space="preserve">9.5 Key settings (.env)</w:t>
            </w:r>
            <w:r>
              <w:tab/>
            </w:r>
            <w:r>
              <w:fldChar w:fldCharType="begin" w:dirty="true"/>
              <w:instrText xml:space="preserve">PAGEREF _Toc41 \h</w:instrText>
              <w:fldChar w:fldCharType="separate"/>
              <w:fldChar w:fldCharType="end"/>
            </w:r>
          </w:hyperlink>
        </w:p>
        <w:p>
          <w:pPr>
            <w:pStyle w:val="TOC2"/>
            <w:tabs>
              <w:tab w:val="right" w:pos="9638" w:leader="dot"/>
            </w:tabs>
            <w:ind w:left="220"/>
          </w:pPr>
          <w:hyperlink w:history="1" w:anchor="_Toc42">
            <w:r>
              <w:t xml:space="preserve">9.6 Before real owners use it</w:t>
            </w:r>
            <w:r>
              <w:tab/>
            </w:r>
            <w:r>
              <w:fldChar w:fldCharType="begin" w:dirty="true"/>
              <w:instrText xml:space="preserve">PAGEREF _Toc42 \h</w:instrText>
              <w:fldChar w:fldCharType="separate"/>
              <w:fldChar w:fldCharType="end"/>
            </w:r>
          </w:hyperlink>
        </w:p>
        <w:p>
          <w:pPr>
            <w:pStyle w:val="TOC1"/>
            <w:tabs>
              <w:tab w:val="right" w:pos="9638" w:leader="dot"/>
            </w:tabs>
          </w:pPr>
          <w:hyperlink w:history="1" w:anchor="_Toc43">
            <w:r>
              <w:t xml:space="preserve">10. Demo guide</w:t>
            </w:r>
            <w:r>
              <w:tab/>
            </w:r>
            <w:r>
              <w:fldChar w:fldCharType="begin" w:dirty="true"/>
              <w:instrText xml:space="preserve">PAGEREF _Toc43 \h</w:instrText>
              <w:fldChar w:fldCharType="separate"/>
              <w:fldChar w:fldCharType="end"/>
            </w:r>
          </w:hyperlink>
        </w:p>
        <w:p>
          <w:pPr>
            <w:pStyle w:val="TOC1"/>
            <w:tabs>
              <w:tab w:val="right" w:pos="9638" w:leader="dot"/>
            </w:tabs>
          </w:pPr>
          <w:hyperlink w:history="1" w:anchor="_Toc44">
            <w:r>
              <w:t xml:space="preserve">11. Submission checklist</w:t>
            </w:r>
            <w:r>
              <w:tab/>
            </w:r>
            <w:r>
              <w:fldChar w:fldCharType="begin" w:dirty="true"/>
              <w:instrText xml:space="preserve">PAGEREF _Toc44 \h</w:instrText>
              <w:fldChar w:fldCharType="separate"/>
              <w:fldChar w:fldCharType="end"/>
            </w:r>
          </w:hyperlink>
        </w:p>
        <w:p>
          <w:pPr>
            <w:pStyle w:val="TOC1"/>
            <w:tabs>
              <w:tab w:val="right" w:pos="9638" w:leader="dot"/>
            </w:tabs>
          </w:pPr>
          <w:hyperlink w:history="1" w:anchor="_Toc45">
            <w:r>
              <w:t xml:space="preserve">12. Known limitations and roadmap</w:t>
            </w:r>
            <w:r>
              <w:tab/>
            </w:r>
            <w:r>
              <w:fldChar w:fldCharType="begin" w:dirty="true"/>
              <w:instrText xml:space="preserve">PAGEREF _Toc45 \h</w:instrText>
              <w:fldChar w:fldCharType="separate"/>
              <w:fldChar w:fldCharType="end"/>
            </w:r>
          </w:hyperlink>
        </w:p>
        <w:p>
          <w:pPr>
            <w:pStyle w:val="TOC1"/>
            <w:tabs>
              <w:tab w:val="right" w:pos="9638" w:leader="dot"/>
            </w:tabs>
          </w:pPr>
          <w:hyperlink w:history="1" w:anchor="_Toc46">
            <w:r>
              <w:t xml:space="preserve">Appendix A. Glossary</w:t>
            </w:r>
            <w:r>
              <w:tab/>
            </w:r>
            <w:r>
              <w:fldChar w:fldCharType="begin" w:dirty="true"/>
              <w:instrText xml:space="preserve">PAGEREF _Toc46 \h</w:instrText>
              <w:fldChar w:fldCharType="separate"/>
              <w:fldChar w:fldCharType="end"/>
            </w:r>
          </w:hyperlink>
        </w:p>
        <w:p>
          <w:pPr>
            <w:pStyle w:val="TOC1"/>
            <w:tabs>
              <w:tab w:val="right" w:pos="9638" w:leader="dot"/>
            </w:tabs>
          </w:pPr>
          <w:hyperlink w:history="1" w:anchor="_Toc47">
            <w:r>
              <w:t xml:space="preserve">Appendix B. Repository map</w:t>
            </w:r>
            <w:r>
              <w:tab/>
            </w:r>
            <w:r>
              <w:fldChar w:fldCharType="begin" w:dirty="true"/>
              <w:instrText xml:space="preserve">PAGEREF _Toc47 \h</w:instrText>
              <w:fldChar w:fldCharType="separate"/>
              <w:fldChar w:fldCharType="end"/>
            </w:r>
          </w:hyperlink>
        </w:p>
        <w:p>
          <w:r>
            <w:fldChar w:fldCharType="end"/>
          </w:r>
        </w:p>
      </w:sdtContent>
    </w:sdt>
    <w:p>
      <w:pPr>
        <w:spacing w:after="140" w:line="288"/>
      </w:pPr>
      <w:r>
        <w:t xml:space="preserve">(If the table of contents is empty, right-click it in Word and choose Update Field.)</w:t>
      </w:r>
    </w:p>
    <w:p>
      <w:pPr>
        <w:pStyle w:val="Heading1"/>
        <w:pageBreakBefore/>
      </w:pPr>
      <w:bookmarkStart w:name="_Toc1" w:id="1"/>
      <w:r>
        <w:t xml:space="preserve">1. Overview</w:t>
      </w:r>
      <w:bookmarkEnd w:id="1"/>
    </w:p>
    <w:p>
      <w:pPr>
        <w:pStyle w:val="Heading2"/>
      </w:pPr>
      <w:bookmarkStart w:name="_Toc2" w:id="2"/>
      <w:r>
        <w:t xml:space="preserve">1.1 What it is</w:t>
      </w:r>
      <w:bookmarkEnd w:id="2"/>
    </w:p>
    <w:p>
      <w:pPr>
        <w:spacing w:after="140" w:line="288"/>
      </w:pPr>
      <w:r>
        <w:t xml:space="preserve">SME Finance Copilot is a web app with an AI agent at its centre. The owner writes or speaks in everyday language ("dokan bhara 15000 dilam", "গত মাসে লাভ কত?", "上个月利润多少？") and the copilot does the work: it records the entry, analyses the business, forecasts cash, compares financing, drafts reminders and letters, and prepares payments that only the owner can confirm. Every number comes from deterministic, tested code; the language model only understands the request and explains the result.</w:t>
      </w:r>
    </w:p>
    <w:p>
      <w:pPr>
        <w:pStyle w:val="Heading2"/>
      </w:pPr>
      <w:bookmarkStart w:name="_Toc3" w:id="3"/>
      <w:r>
        <w:t xml:space="preserve">1.2 Who it is for</w:t>
      </w:r>
      <w:bookmarkEnd w:id="3"/>
    </w:p>
    <w:p>
      <w:pPr>
        <w:spacing w:after="140" w:line="288"/>
      </w:pPr>
      <w:r>
        <w:t xml:space="preserve">Owners of small shops, traders, garment subcontractors, food businesses and freelancers in Bangladesh, especially those with no finance background. Their records live in sales notebooks, bank statements and bKash, Nagad or Rocket exports. They are often profitable on paper but short of cash because buyers pay late, and they cannot tell which credit they qualify for or what it really costs.</w:t>
      </w:r>
    </w:p>
    <w:p>
      <w:pPr>
        <w:spacing w:after="140" w:line="288"/>
      </w:pPr>
      <w:r>
        <w:t xml:space="preserve">The app opens on a calm guided Home with just two things: the money in the owner's records and one practical next step. Everything else has its own place (Tasks, Money, Records, More), and an Advanced mode shows every chart and tool.</w:t>
      </w:r>
    </w:p>
    <w:p>
      <w:pPr>
        <w:pStyle w:val="Heading2"/>
      </w:pPr>
      <w:bookmarkStart w:name="_Toc4" w:id="4"/>
      <w:r>
        <w:t xml:space="preserve">1.3 How it meets Topic E</w:t>
      </w:r>
      <w:bookmarkEnd w:id="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4626"/>
        <w:gridCol w:w="2892"/>
      </w:tblGrid>
      <w:tr>
        <w:trPr>
          <w:tblHeader/>
        </w:trPr>
        <w:tc>
          <w:tcPr>
            <w:tcW w:type="dxa" w:w="2120"/>
            <w:tcBorders>
              <w:top w:val="single" w:color="D9D2CA" w:sz="4"/>
              <w:left w:val="single" w:color="D9D2CA" w:sz="4"/>
              <w:bottom w:val="single" w:color="D9D2CA" w:sz="4"/>
              <w:right w:val="single" w:color="D9D2CA" w:sz="4"/>
            </w:tcBorders>
            <w:shd w:fill="FBE9E0" w:color="auto" w:val="clear"/>
            <w:tcMar>
              <w:top w:type="dxa" w:w="60"/>
              <w:left w:type="dxa" w:w="100"/>
              <w:bottom w:type="dxa" w:w="60"/>
              <w:right w:type="dxa" w:w="100"/>
            </w:tcMar>
          </w:tcPr>
          <w:p>
            <w:pPr>
              <w:spacing w:after="0" w:line="264"/>
            </w:pPr>
            <w:r>
              <w:rPr>
                <w:b/>
                <w:bCs/>
              </w:rPr>
              <w:t xml:space="preserve">Topic E asks for</w:t>
            </w:r>
          </w:p>
        </w:tc>
        <w:tc>
          <w:tcPr>
            <w:tcW w:type="dxa" w:w="4626"/>
            <w:tcBorders>
              <w:top w:val="single" w:color="D9D2CA" w:sz="4"/>
              <w:left w:val="single" w:color="D9D2CA" w:sz="4"/>
              <w:bottom w:val="single" w:color="D9D2CA" w:sz="4"/>
              <w:right w:val="single" w:color="D9D2CA" w:sz="4"/>
            </w:tcBorders>
            <w:shd w:fill="FBE9E0" w:color="auto" w:val="clear"/>
            <w:tcMar>
              <w:top w:type="dxa" w:w="60"/>
              <w:left w:type="dxa" w:w="100"/>
              <w:bottom w:type="dxa" w:w="60"/>
              <w:right w:type="dxa" w:w="100"/>
            </w:tcMar>
          </w:tcPr>
          <w:p>
            <w:pPr>
              <w:spacing w:after="0" w:line="264"/>
            </w:pPr>
            <w:r>
              <w:rPr>
                <w:b/>
                <w:bCs/>
              </w:rPr>
              <w:t xml:space="preserve">What the app does</w:t>
            </w:r>
          </w:p>
        </w:tc>
        <w:tc>
          <w:tcPr>
            <w:tcW w:type="dxa" w:w="2892"/>
            <w:tcBorders>
              <w:top w:val="single" w:color="D9D2CA" w:sz="4"/>
              <w:left w:val="single" w:color="D9D2CA" w:sz="4"/>
              <w:bottom w:val="single" w:color="D9D2CA" w:sz="4"/>
              <w:right w:val="single" w:color="D9D2CA" w:sz="4"/>
            </w:tcBorders>
            <w:shd w:fill="FBE9E0" w:color="auto" w:val="clear"/>
            <w:tcMar>
              <w:top w:type="dxa" w:w="60"/>
              <w:left w:type="dxa" w:w="100"/>
              <w:bottom w:type="dxa" w:w="60"/>
              <w:right w:type="dxa" w:w="100"/>
            </w:tcMar>
          </w:tcPr>
          <w:p>
            <w:pPr>
              <w:spacing w:after="0" w:line="264"/>
            </w:pPr>
            <w:r>
              <w:rPr>
                <w:b/>
                <w:bCs/>
              </w:rPr>
              <w:t xml:space="preserve">Where to see it</w:t>
            </w:r>
          </w:p>
        </w:tc>
      </w:tr>
      <w:tr>
        <w:tc>
          <w:tcPr>
            <w:tcW w:type="dxa" w:w="2120"/>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Financing-option matching</w:t>
            </w:r>
          </w:p>
        </w:tc>
        <w:tc>
          <w:tcPr>
            <w:tcW w:type="dxa" w:w="4626"/>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Ranks financing options against the business's real numbers, with cost, repayment ability (DSCR) and the reason for every rejection; loan-readiness score with tips; loan-readiness PDF; application checklist. Real owners also compare actual lender quotes step by step.</w:t>
            </w:r>
          </w:p>
        </w:tc>
        <w:tc>
          <w:tcPr>
            <w:tcW w:type="dxa" w:w="2892"/>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Ask Copilot: "Which loans fit me for 5 lakh to buy winter stock?" · More → Ask Copilot → Check a loan quote</w:t>
            </w:r>
          </w:p>
        </w:tc>
      </w:tr>
      <w:tr>
        <w:tc>
          <w:tcPr>
            <w:tcW w:type="dxa" w:w="2120"/>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Cash-flow management with alerts</w:t>
            </w:r>
          </w:p>
        </w:tc>
        <w:tc>
          <w:tcPr>
            <w:tcW w:type="dxa" w:w="4626"/>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90-day forecast with an 80% band, what-if scenarios (late customer, loan, sales change, new cost), alerts for low cash, overdue invoices, bills and deadlines, persistent reminders.</w:t>
            </w:r>
          </w:p>
        </w:tc>
        <w:tc>
          <w:tcPr>
            <w:tcW w:type="dxa" w:w="2892"/>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Money → Money ahead · Tasks · Advanced dashboard</w:t>
            </w:r>
          </w:p>
        </w:tc>
      </w:tr>
      <w:tr>
        <w:tc>
          <w:tcPr>
            <w:tcW w:type="dxa" w:w="2120"/>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Business financial analysis</w:t>
            </w:r>
          </w:p>
        </w:tc>
        <w:tc>
          <w:tcPr>
            <w:tcW w:type="dxa" w:w="4626"/>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Profit and loss, margins, break-even, who owes what and how late, cost drivers, seasonality and plain explanations of why numbers changed.</w:t>
            </w:r>
          </w:p>
        </w:tc>
        <w:tc>
          <w:tcPr>
            <w:tcW w:type="dxa" w:w="2892"/>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Reports · Ask Copilot</w:t>
            </w:r>
          </w:p>
        </w:tc>
      </w:tr>
      <w:tr>
        <w:tc>
          <w:tcPr>
            <w:tcW w:type="dxa" w:w="2120"/>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Theme: an AI agent completing real tasks</w:t>
            </w:r>
          </w:p>
        </w:tc>
        <w:tc>
          <w:tcPr>
            <w:tcW w:type="dxa" w:w="4626"/>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A tool-calling agent with 32 tools in four permission tiers; sandbox payments only after the owner retypes the amount.</w:t>
            </w:r>
          </w:p>
        </w:tc>
        <w:tc>
          <w:tcPr>
            <w:tcW w:type="dxa" w:w="2892"/>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Ask Copilot · execution evidence (35/35 steps)</w:t>
            </w:r>
          </w:p>
        </w:tc>
      </w:tr>
    </w:tbl>
    <w:p>
      <w:pPr>
        <w:pStyle w:val="Heading2"/>
      </w:pPr>
      <w:bookmarkStart w:name="_Toc5" w:id="5"/>
      <w:r>
        <w:t xml:space="preserve">1.4 How it addresses the scoring criteria</w:t>
      </w:r>
      <w:bookmarkEnd w:id="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tcBorders>
              <w:top w:val="single" w:color="D9D2CA" w:sz="4"/>
              <w:left w:val="single" w:color="D9D2CA" w:sz="4"/>
              <w:bottom w:val="single" w:color="D9D2CA" w:sz="4"/>
              <w:right w:val="single" w:color="D9D2CA" w:sz="4"/>
            </w:tcBorders>
            <w:shd w:fill="FBE9E0" w:color="auto" w:val="clear"/>
            <w:tcMar>
              <w:top w:type="dxa" w:w="60"/>
              <w:left w:type="dxa" w:w="100"/>
              <w:bottom w:type="dxa" w:w="60"/>
              <w:right w:type="dxa" w:w="100"/>
            </w:tcMar>
          </w:tcPr>
          <w:p>
            <w:pPr>
              <w:spacing w:after="0" w:line="264"/>
            </w:pPr>
            <w:r>
              <w:rPr>
                <w:b/>
                <w:bCs/>
              </w:rPr>
              <w:t xml:space="preserve">Criterion</w:t>
            </w:r>
          </w:p>
        </w:tc>
        <w:tc>
          <w:tcPr>
            <w:tcW w:type="dxa" w:w="7132"/>
            <w:tcBorders>
              <w:top w:val="single" w:color="D9D2CA" w:sz="4"/>
              <w:left w:val="single" w:color="D9D2CA" w:sz="4"/>
              <w:bottom w:val="single" w:color="D9D2CA" w:sz="4"/>
              <w:right w:val="single" w:color="D9D2CA" w:sz="4"/>
            </w:tcBorders>
            <w:shd w:fill="FBE9E0" w:color="auto" w:val="clear"/>
            <w:tcMar>
              <w:top w:type="dxa" w:w="60"/>
              <w:left w:type="dxa" w:w="100"/>
              <w:bottom w:type="dxa" w:w="60"/>
              <w:right w:type="dxa" w:w="100"/>
            </w:tcMar>
          </w:tcPr>
          <w:p>
            <w:pPr>
              <w:spacing w:after="0" w:line="264"/>
            </w:pPr>
            <w:r>
              <w:rPr>
                <w:b/>
                <w:bCs/>
              </w:rPr>
              <w:t xml:space="preserve">Evidence</w:t>
            </w:r>
          </w:p>
        </w:tc>
      </w:tr>
      <w:tr>
        <w:tc>
          <w:tcPr>
            <w:tcW w:type="dxa" w:w="2506"/>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Task completion (40%)</w:t>
            </w:r>
          </w:p>
        </w:tc>
        <w:tc>
          <w:tcPr>
            <w:tcW w:type="dxa" w:w="7132"/>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35/35 scripted end-to-end steps on the real API as owner, accountant and viewer; 1,009 statement rows imported from 6 files; 24 sandbox operations and 62 audit events logged; 443 Python and 19 interface tests (90% line coverage).</w:t>
            </w:r>
          </w:p>
        </w:tc>
      </w:tr>
      <w:tr>
        <w:tc>
          <w:tcPr>
            <w:tcW w:type="dxa" w:w="2506"/>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Security and compliance (30%)</w:t>
            </w:r>
          </w:p>
        </w:tc>
        <w:tc>
          <w:tcPr>
            <w:tcW w:type="dxa" w:w="7132"/>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Four permission tiers enforced in one executor; owner-only money with retyped amount, password step-up, limits and expiry; hash-chained audit log; prompt-injection and fraud defences in four languages; a self-review on 19 October 2026 that found and fixed four issues, each with a regression test.</w:t>
            </w:r>
          </w:p>
        </w:tc>
      </w:tr>
      <w:tr>
        <w:tc>
          <w:tcPr>
            <w:tcW w:type="dxa" w:w="2506"/>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Innovation and interaction (30%)</w:t>
            </w:r>
          </w:p>
        </w:tc>
        <w:tc>
          <w:tcPr>
            <w:tcW w:type="dxa" w:w="7132"/>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Bangla, Banglish, English and Chinese; a guided Home designed for owners without finance training; a market-price drawer powered by a small forecasting model whose ranges were backtested on 170 real price series; works offline and with any of 15 model profiles.</w:t>
            </w:r>
          </w:p>
        </w:tc>
      </w:tr>
    </w:tbl>
    <w:p>
      <w:pPr>
        <w:pStyle w:val="Heading1"/>
        <w:pageBreakBefore/>
      </w:pPr>
      <w:bookmarkStart w:name="_Toc6" w:id="6"/>
      <w:r>
        <w:t xml:space="preserve">2. Features</w:t>
      </w:r>
      <w:bookmarkEnd w:id="6"/>
    </w:p>
    <w:p>
      <w:pPr>
        <w:pStyle w:val="Heading2"/>
      </w:pPr>
      <w:bookmarkStart w:name="_Toc7" w:id="7"/>
      <w:r>
        <w:t xml:space="preserve">2.1 Guided Home and navigation</w:t>
      </w:r>
      <w:bookmarkEnd w:id="7"/>
    </w:p>
    <w:p>
      <w:pPr>
        <w:pStyle w:val="ListParagraph"/>
        <w:numPr>
          <w:ilvl w:val="0"/>
          <w:numId w:val="2"/>
        </w:numPr>
        <w:spacing w:after="80" w:line="276"/>
      </w:pPr>
      <w:r>
        <w:rPr>
          <w:b/>
          <w:bCs/>
        </w:rPr>
        <w:t xml:space="preserve">Home</w:t>
      </w:r>
      <w:r>
        <w:t xml:space="preserve"> shows the money in the owner's records (with its date and source, never presented as a live bank balance) and one next step with a short reason and a "How to do it" disclosure.</w:t>
      </w:r>
    </w:p>
    <w:p>
      <w:pPr>
        <w:pStyle w:val="ListParagraph"/>
        <w:numPr>
          <w:ilvl w:val="0"/>
          <w:numId w:val="2"/>
        </w:numPr>
        <w:spacing w:after="80" w:line="276"/>
      </w:pPr>
      <w:r>
        <w:rPr>
          <w:b/>
          <w:bCs/>
        </w:rPr>
        <w:t xml:space="preserve">Tasks</w:t>
      </w:r>
      <w:r>
        <w:t xml:space="preserve"> has To do, Reminders and Coming up. </w:t>
      </w:r>
      <w:r>
        <w:rPr>
          <w:b/>
          <w:bCs/>
        </w:rPr>
        <w:t xml:space="preserve">Money</w:t>
      </w:r>
      <w:r>
        <w:t xml:space="preserve"> has This month and Money ahead. </w:t>
      </w:r>
      <w:r>
        <w:rPr>
          <w:b/>
          <w:bCs/>
        </w:rPr>
        <w:t xml:space="preserve">Records</w:t>
      </w:r>
      <w:r>
        <w:t xml:space="preserve"> holds entries and history. </w:t>
      </w:r>
      <w:r>
        <w:rPr>
          <w:b/>
          <w:bCs/>
        </w:rPr>
        <w:t xml:space="preserve">More</w:t>
      </w:r>
      <w:r>
        <w:t xml:space="preserve"> holds Ask Copilot, customers and suppliers, bills, reports and specialist tools.</w:t>
      </w:r>
    </w:p>
    <w:p>
      <w:pPr>
        <w:pStyle w:val="ListParagraph"/>
        <w:numPr>
          <w:ilvl w:val="0"/>
          <w:numId w:val="2"/>
        </w:numPr>
        <w:spacing w:after="80" w:line="276"/>
      </w:pPr>
      <w:r>
        <w:rPr>
          <w:b/>
          <w:bCs/>
        </w:rPr>
        <w:t xml:space="preserve">Simple and Advanced modes.</w:t>
      </w:r>
      <w:r>
        <w:t xml:space="preserve"> Simple (the default) uses large, plain language; Advanced shows every chart, calculation and tool.</w:t>
      </w:r>
    </w:p>
    <w:p>
      <w:pPr>
        <w:pStyle w:val="Heading2"/>
      </w:pPr>
      <w:bookmarkStart w:name="_Toc8" w:id="8"/>
      <w:r>
        <w:t xml:space="preserve">2.2 Accounts, onboarding and tips</w:t>
      </w:r>
      <w:bookmarkEnd w:id="8"/>
    </w:p>
    <w:p>
      <w:pPr>
        <w:pStyle w:val="ListParagraph"/>
        <w:numPr>
          <w:ilvl w:val="0"/>
          <w:numId w:val="2"/>
        </w:numPr>
        <w:spacing w:after="80" w:line="276"/>
      </w:pPr>
      <w:r>
        <w:rPr>
          <w:b/>
          <w:bCs/>
        </w:rPr>
        <w:t xml:space="preserve">Create account</w:t>
      </w:r>
      <w:r>
        <w:t xml:space="preserve"> makes a new business with its owner account and logs in; the login and signup screens are fully translated, including errors.</w:t>
      </w:r>
    </w:p>
    <w:p>
      <w:pPr>
        <w:pStyle w:val="ListParagraph"/>
        <w:numPr>
          <w:ilvl w:val="0"/>
          <w:numId w:val="2"/>
        </w:numPr>
        <w:spacing w:after="80" w:line="276"/>
      </w:pPr>
      <w:r>
        <w:rPr>
          <w:b/>
          <w:bCs/>
        </w:rPr>
        <w:t xml:space="preserve">Setup guide</w:t>
      </w:r>
      <w:r>
        <w:t xml:space="preserve"> on first login asks one familiar question (the kind of business) and starts with the essentials.</w:t>
      </w:r>
    </w:p>
    <w:p>
      <w:pPr>
        <w:pStyle w:val="ListParagraph"/>
        <w:numPr>
          <w:ilvl w:val="0"/>
          <w:numId w:val="2"/>
        </w:numPr>
        <w:spacing w:after="80" w:line="276"/>
      </w:pPr>
      <w:r>
        <w:rPr>
          <w:b/>
          <w:bCs/>
        </w:rPr>
        <w:t xml:space="preserve">Tips:</w:t>
      </w:r>
      <w:r>
        <w:t xml:space="preserve"> during an account's first three days, about one visit in three shows one short tip about a section, in guided and Advanced modes, in the owner's language. Each tip has "Show me" and "Got it".</w:t>
      </w:r>
    </w:p>
    <w:p>
      <w:pPr>
        <w:pStyle w:val="ListParagraph"/>
        <w:numPr>
          <w:ilvl w:val="0"/>
          <w:numId w:val="2"/>
        </w:numPr>
        <w:spacing w:after="80" w:line="276"/>
      </w:pPr>
      <w:r>
        <w:rPr>
          <w:b/>
          <w:bCs/>
        </w:rPr>
        <w:t xml:space="preserve">Roles:</w:t>
      </w:r>
      <w:r>
        <w:t xml:space="preserve"> owner (everything, including confirming payments), accountant (entries, drafts, reminders, reports, never money), viewer (read-only).</w:t>
      </w:r>
    </w:p>
    <w:p>
      <w:pPr>
        <w:pStyle w:val="Heading2"/>
      </w:pPr>
      <w:bookmarkStart w:name="_Toc9" w:id="9"/>
      <w:r>
        <w:t xml:space="preserve">2.3 Recording money</w:t>
      </w:r>
      <w:bookmarkEnd w:id="9"/>
    </w:p>
    <w:p>
      <w:pPr>
        <w:pStyle w:val="ListParagraph"/>
        <w:numPr>
          <w:ilvl w:val="0"/>
          <w:numId w:val="2"/>
        </w:numPr>
        <w:spacing w:after="80" w:line="276"/>
      </w:pPr>
      <w:r>
        <w:rPr>
          <w:b/>
          <w:bCs/>
        </w:rPr>
        <w:t xml:space="preserve">Quick entry in your own words</w:t>
      </w:r>
      <w:r>
        <w:t xml:space="preserve"> in English, Bangla or Banglish ("sold 12 shirts 6000 cash", "দোকান ভাড়া ১৫০০০ দিলাম"). The app shows a preview and asks for confirmation before saving.</w:t>
      </w:r>
    </w:p>
    <w:p>
      <w:pPr>
        <w:pStyle w:val="ListParagraph"/>
        <w:numPr>
          <w:ilvl w:val="0"/>
          <w:numId w:val="2"/>
        </w:numPr>
        <w:spacing w:after="80" w:line="276"/>
      </w:pPr>
      <w:r>
        <w:rPr>
          <w:b/>
          <w:bCs/>
        </w:rPr>
        <w:t xml:space="preserve">File import:</w:t>
      </w:r>
      <w:r>
        <w:t xml:space="preserve"> sales and expense ledgers, bank statements, bKash/Nagad/Rocket statements and invoices (.csv, .xlsx, pasted text). Bank preambles are skipped, Bangla column names understood and each file imported only once.</w:t>
      </w:r>
    </w:p>
    <w:p>
      <w:pPr>
        <w:pStyle w:val="ListParagraph"/>
        <w:numPr>
          <w:ilvl w:val="0"/>
          <w:numId w:val="2"/>
        </w:numPr>
        <w:spacing w:after="80" w:line="276"/>
      </w:pPr>
      <w:r>
        <w:rPr>
          <w:b/>
          <w:bCs/>
        </w:rPr>
        <w:t xml:space="preserve">Photo of the khata</w:t>
      </w:r>
      <w:r>
        <w:t xml:space="preserve"> (sales book): lines are read, checked against each day's written total and shown for correction before anything is saved.</w:t>
      </w:r>
    </w:p>
    <w:p>
      <w:pPr>
        <w:pStyle w:val="ListParagraph"/>
        <w:numPr>
          <w:ilvl w:val="0"/>
          <w:numId w:val="2"/>
        </w:numPr>
        <w:spacing w:after="80" w:line="276"/>
      </w:pPr>
      <w:r>
        <w:rPr>
          <w:b/>
          <w:bCs/>
        </w:rPr>
        <w:t xml:space="preserve">Quality checks:</w:t>
      </w:r>
      <w:r>
        <w:t xml:space="preserve"> duplicates and unusual amounts are flagged; text in a file that tries to give the AI instructions is flagged and treated as data.</w:t>
      </w:r>
    </w:p>
    <w:p>
      <w:pPr>
        <w:pStyle w:val="Heading2"/>
      </w:pPr>
      <w:bookmarkStart w:name="_Toc10" w:id="10"/>
      <w:r>
        <w:t xml:space="preserve">2.4 Analysis and reports</w:t>
      </w:r>
      <w:bookmarkEnd w:id="10"/>
    </w:p>
    <w:p>
      <w:pPr>
        <w:spacing w:after="140" w:line="288"/>
      </w:pPr>
      <w:r>
        <w:t xml:space="preserve">Profit and loss, cash flow and "who owes, how late" reports for any period, with PDF and CSV export. The Copilot answers questions such as "How did I do last month and why did it change?" with the formula, steps and source rows available under "Show calculation".</w:t>
      </w:r>
    </w:p>
    <w:p>
      <w:pPr>
        <w:pStyle w:val="Heading2"/>
      </w:pPr>
      <w:bookmarkStart w:name="_Toc11" w:id="11"/>
      <w:r>
        <w:t xml:space="preserve">2.5 Cash forecast, what-if and alerts</w:t>
      </w:r>
      <w:bookmarkEnd w:id="11"/>
    </w:p>
    <w:p>
      <w:pPr>
        <w:pStyle w:val="ListParagraph"/>
        <w:numPr>
          <w:ilvl w:val="0"/>
          <w:numId w:val="2"/>
        </w:numPr>
        <w:spacing w:after="80" w:line="276"/>
      </w:pPr>
      <w:r>
        <w:rPr>
          <w:b/>
          <w:bCs/>
        </w:rPr>
        <w:t xml:space="preserve">90-day cash forecast</w:t>
      </w:r>
      <w:r>
        <w:t xml:space="preserve"> from open invoices (adjusted for each customer's usual delay), bills, repeating costs and recent activity, with an 80% band and the first date cash may run short.</w:t>
      </w:r>
    </w:p>
    <w:p>
      <w:pPr>
        <w:pStyle w:val="ListParagraph"/>
        <w:numPr>
          <w:ilvl w:val="0"/>
          <w:numId w:val="2"/>
        </w:numPr>
        <w:spacing w:after="80" w:line="276"/>
      </w:pPr>
      <w:r>
        <w:rPr>
          <w:b/>
          <w:bCs/>
        </w:rPr>
        <w:t xml:space="preserve">What-if:</w:t>
      </w:r>
      <w:r>
        <w:t xml:space="preserve"> a customer paying N days late, taking a loan, sales up or down, a new monthly cost, a one-off payment.</w:t>
      </w:r>
    </w:p>
    <w:p>
      <w:pPr>
        <w:pStyle w:val="ListParagraph"/>
        <w:numPr>
          <w:ilvl w:val="0"/>
          <w:numId w:val="2"/>
        </w:numPr>
        <w:spacing w:after="80" w:line="276"/>
      </w:pPr>
      <w:r>
        <w:rPr>
          <w:b/>
          <w:bCs/>
        </w:rPr>
        <w:t xml:space="preserve">Alerts and reminders:</w:t>
      </w:r>
      <w:r>
        <w:t xml:space="preserve"> low cash, overdue invoices, bills due, regular costs, unusual spending and seasonal preparation. Personal reminders persist and appear in the app when the owner returns.</w:t>
      </w:r>
    </w:p>
    <w:p>
      <w:pPr>
        <w:pStyle w:val="Heading2"/>
      </w:pPr>
      <w:bookmarkStart w:name="_Toc12" w:id="12"/>
      <w:r>
        <w:t xml:space="preserve">2.6 Financing</w:t>
      </w:r>
      <w:bookmarkEnd w:id="12"/>
    </w:p>
    <w:p>
      <w:pPr>
        <w:pStyle w:val="ListParagraph"/>
        <w:numPr>
          <w:ilvl w:val="0"/>
          <w:numId w:val="2"/>
        </w:numPr>
        <w:spacing w:after="80" w:line="276"/>
      </w:pPr>
      <w:r>
        <w:rPr>
          <w:b/>
          <w:bCs/>
        </w:rPr>
        <w:t xml:space="preserve">Matching</w:t>
      </w:r>
      <w:r>
        <w:t xml:space="preserve"> ranks products from a catalog of 12 financing types using the business's real age, revenue, stability, records, documents, collateral and repayment ability; every option shows its offer, EMI range, total cost of credit and DSCR after the loan, and every rejection its reason. Catalog terms are illustrative and labelled "verify with the lender"; this matching is on in demo mode only.</w:t>
      </w:r>
    </w:p>
    <w:p>
      <w:pPr>
        <w:pStyle w:val="ListParagraph"/>
        <w:numPr>
          <w:ilvl w:val="0"/>
          <w:numId w:val="2"/>
        </w:numPr>
        <w:spacing w:after="80" w:line="276"/>
      </w:pPr>
      <w:r>
        <w:rPr>
          <w:b/>
          <w:bCs/>
        </w:rPr>
        <w:t xml:space="preserve">Loan-readiness score</w:t>
      </w:r>
      <w:r>
        <w:t xml:space="preserve"> out of 100 (eight components) with point-valued tips, a </w:t>
      </w:r>
      <w:r>
        <w:rPr>
          <w:b/>
          <w:bCs/>
        </w:rPr>
        <w:t xml:space="preserve">loan-readiness PDF</w:t>
      </w:r>
      <w:r>
        <w:t xml:space="preserve"> for the bank and an </w:t>
      </w:r>
      <w:r>
        <w:rPr>
          <w:b/>
          <w:bCs/>
        </w:rPr>
        <w:t xml:space="preserve">application checklist</w:t>
      </w:r>
      <w:r>
        <w:t xml:space="preserve">.</w:t>
      </w:r>
    </w:p>
    <w:p>
      <w:pPr>
        <w:pStyle w:val="ListParagraph"/>
        <w:numPr>
          <w:ilvl w:val="0"/>
          <w:numId w:val="2"/>
        </w:numPr>
        <w:spacing w:after="80" w:line="276"/>
      </w:pPr>
      <w:r>
        <w:rPr>
          <w:b/>
          <w:bCs/>
        </w:rPr>
        <w:t xml:space="preserve">Check a real loan quote</w:t>
      </w:r>
      <w:r>
        <w:t xml:space="preserve"> (guided task): money actually received, full repayment schedule, essential costs and a chosen reserve, with a slower-sales scenario.</w:t>
      </w:r>
    </w:p>
    <w:p>
      <w:pPr>
        <w:pStyle w:val="Heading2"/>
      </w:pPr>
      <w:bookmarkStart w:name="_Toc13" w:id="13"/>
      <w:r>
        <w:t xml:space="preserve">2.7 Actions and sandbox payments</w:t>
      </w:r>
      <w:bookmarkEnd w:id="13"/>
    </w:p>
    <w:p>
      <w:pPr>
        <w:pStyle w:val="ListParagraph"/>
        <w:numPr>
          <w:ilvl w:val="0"/>
          <w:numId w:val="2"/>
        </w:numPr>
        <w:spacing w:after="80" w:line="276"/>
      </w:pPr>
      <w:r>
        <w:rPr>
          <w:b/>
          <w:bCs/>
        </w:rPr>
        <w:t xml:space="preserve">Reminders and letters:</w:t>
      </w:r>
      <w:r>
        <w:t xml:space="preserve"> polite follow-ups in English or Bangla; customer reminders are prepared, then saved to a simulated outbox once the owner confirms. Nothing is sent to real phones.</w:t>
      </w:r>
    </w:p>
    <w:p>
      <w:pPr>
        <w:pStyle w:val="ListParagraph"/>
        <w:numPr>
          <w:ilvl w:val="0"/>
          <w:numId w:val="2"/>
        </w:numPr>
        <w:spacing w:after="80" w:line="276"/>
      </w:pPr>
      <w:r>
        <w:rPr>
          <w:b/>
          <w:bCs/>
        </w:rPr>
        <w:t xml:space="preserve">Owner SMS</w:t>
      </w:r>
      <w:r>
        <w:t xml:space="preserve"> (optional): a real provider adapter that stays off until provider onboarding, opt-in and phone verification. In-app reminders always work.</w:t>
      </w:r>
    </w:p>
    <w:p>
      <w:pPr>
        <w:pStyle w:val="ListParagraph"/>
        <w:numPr>
          <w:ilvl w:val="0"/>
          <w:numId w:val="2"/>
        </w:numPr>
        <w:spacing w:after="80" w:line="276"/>
      </w:pPr>
      <w:r>
        <w:rPr>
          <w:b/>
          <w:bCs/>
        </w:rPr>
        <w:t xml:space="preserve">Sandbox payments:</w:t>
      </w:r>
      <w:r>
        <w:t xml:space="preserve"> transfers and supplier payments wait for the owner, who retypes the amount (and the password again at ৳50,000 or more). Money moves only inside a simulated sandbox account.</w:t>
      </w:r>
    </w:p>
    <w:p>
      <w:pPr>
        <w:pStyle w:val="Heading2"/>
      </w:pPr>
      <w:bookmarkStart w:name="_Toc14" w:id="14"/>
      <w:r>
        <w:t xml:space="preserve">2.8 Market prices near the shop</w:t>
      </w:r>
      <w:bookmarkEnd w:id="14"/>
    </w:p>
    <w:p>
      <w:pPr>
        <w:spacing w:after="140" w:line="288"/>
      </w:pPr>
      <w:r>
        <w:t xml:space="preserve">A minimised </w:t>
      </w:r>
      <w:r>
        <w:rPr>
          <w:b/>
          <w:bCs/>
        </w:rPr>
        <w:t xml:space="preserve">Prices</w:t>
      </w:r>
      <w:r>
        <w:t xml:space="preserve"> tab on the right edge of Home opens a half-width drawer. It lists public market prices for the items the owner's kind of business buys or sells, near its district, each with the month it was recorded and a one-line outlook for next month with its likely range (for example "Likely to stay about the same through November 2026; could be −5.6% to +5.5%"). Wide ranges say "hard to call". "How sure is this?" explains the model, the backtest and the source. The drawer starts closed so Home keeps its two cards.</w:t>
      </w:r>
    </w:p>
    <w:p>
      <w:pPr>
        <w:pStyle w:val="Heading2"/>
      </w:pPr>
      <w:bookmarkStart w:name="_Toc15" w:id="15"/>
      <w:r>
        <w:t xml:space="preserve">2.9 Languages</w:t>
      </w:r>
      <w:bookmarkEnd w:id="15"/>
    </w:p>
    <w:p>
      <w:pPr>
        <w:spacing w:after="140" w:line="288"/>
      </w:pPr>
      <w:r>
        <w:t xml:space="preserve">English, Bangla and Banglish for input and replies throughout, and a complete Simplified Chinese interface (login, Home, Tasks, Money, Records, reports, settings and the price drawer). With a language model available, the Copilot answers in Chinese; the offline engine answers in English. Letters and SMS to customers stay in English or Bangla because their recipients are in Bangladesh.</w:t>
      </w:r>
    </w:p>
    <w:p>
      <w:pPr>
        <w:pStyle w:val="Heading2"/>
      </w:pPr>
      <w:bookmarkStart w:name="_Toc16" w:id="16"/>
      <w:r>
        <w:t xml:space="preserve">2.10 Bookkeeping</w:t>
      </w:r>
      <w:bookmarkEnd w:id="16"/>
    </w:p>
    <w:p>
      <w:pPr>
        <w:spacing w:after="140" w:line="288"/>
      </w:pPr>
      <w:r>
        <w:t xml:space="preserve">Customers and suppliers (baki khata) with running balances, invoices and payments, repeating items such as rent and salary, and stock with low-stock warnings.</w:t>
      </w:r>
    </w:p>
    <w:p>
      <w:pPr>
        <w:pStyle w:val="Heading1"/>
        <w:pageBreakBefore/>
      </w:pPr>
      <w:bookmarkStart w:name="_Toc17" w:id="17"/>
      <w:r>
        <w:t xml:space="preserve">3. Using the app (short user guide)</w:t>
      </w:r>
      <w:bookmarkEnd w:id="17"/>
    </w:p>
    <w:p>
      <w:pPr>
        <w:pStyle w:val="ListParagraph"/>
        <w:numPr>
          <w:ilvl w:val="0"/>
          <w:numId w:val="3"/>
        </w:numPr>
        <w:spacing w:after="80" w:line="276"/>
      </w:pPr>
      <w:r>
        <w:rPr>
          <w:b/>
          <w:bCs/>
        </w:rPr>
        <w:t xml:space="preserve">Log in or create an account.</w:t>
      </w:r>
      <w:r>
        <w:t xml:space="preserve"> Choose English, বাংলা or 中文 at the top of the login screen.</w:t>
      </w:r>
    </w:p>
    <w:p>
      <w:pPr>
        <w:pStyle w:val="ListParagraph"/>
        <w:numPr>
          <w:ilvl w:val="0"/>
          <w:numId w:val="3"/>
        </w:numPr>
        <w:spacing w:after="80" w:line="276"/>
      </w:pPr>
      <w:r>
        <w:rPr>
          <w:b/>
          <w:bCs/>
        </w:rPr>
        <w:t xml:space="preserve">Answer the setup question</w:t>
      </w:r>
      <w:r>
        <w:t xml:space="preserve"> (the kind of business). You can change it later in Settings.</w:t>
      </w:r>
    </w:p>
    <w:p>
      <w:pPr>
        <w:pStyle w:val="ListParagraph"/>
        <w:numPr>
          <w:ilvl w:val="0"/>
          <w:numId w:val="3"/>
        </w:numPr>
        <w:spacing w:after="80" w:line="276"/>
      </w:pPr>
      <w:r>
        <w:rPr>
          <w:b/>
          <w:bCs/>
        </w:rPr>
        <w:t xml:space="preserve">Add your first record</w:t>
      </w:r>
      <w:r>
        <w:t xml:space="preserve"> from Home: write what happened, check the preview, save.</w:t>
      </w:r>
    </w:p>
    <w:p>
      <w:pPr>
        <w:pStyle w:val="ListParagraph"/>
        <w:numPr>
          <w:ilvl w:val="0"/>
          <w:numId w:val="3"/>
        </w:numPr>
        <w:spacing w:after="80" w:line="276"/>
      </w:pPr>
      <w:r>
        <w:rPr>
          <w:b/>
          <w:bCs/>
        </w:rPr>
        <w:t xml:space="preserve">Follow the next step</w:t>
      </w:r>
      <w:r>
        <w:t xml:space="preserve"> on Home. Open "How to do it" for instructions or "Remind me" to save it for later.</w:t>
      </w:r>
    </w:p>
    <w:p>
      <w:pPr>
        <w:pStyle w:val="ListParagraph"/>
        <w:numPr>
          <w:ilvl w:val="0"/>
          <w:numId w:val="3"/>
        </w:numPr>
        <w:spacing w:after="80" w:line="276"/>
      </w:pPr>
      <w:r>
        <w:rPr>
          <w:b/>
          <w:bCs/>
        </w:rPr>
        <w:t xml:space="preserve">Check Tasks</w:t>
      </w:r>
      <w:r>
        <w:t xml:space="preserve"> for things to do, saved reminders and payments coming up.</w:t>
      </w:r>
    </w:p>
    <w:p>
      <w:pPr>
        <w:pStyle w:val="ListParagraph"/>
        <w:numPr>
          <w:ilvl w:val="0"/>
          <w:numId w:val="3"/>
        </w:numPr>
        <w:spacing w:after="80" w:line="276"/>
      </w:pPr>
      <w:r>
        <w:rPr>
          <w:b/>
          <w:bCs/>
        </w:rPr>
        <w:t xml:space="preserve">Open Money</w:t>
      </w:r>
      <w:r>
        <w:t xml:space="preserve"> for this month's totals and the cash estimate ahead.</w:t>
      </w:r>
    </w:p>
    <w:p>
      <w:pPr>
        <w:pStyle w:val="ListParagraph"/>
        <w:numPr>
          <w:ilvl w:val="0"/>
          <w:numId w:val="3"/>
        </w:numPr>
        <w:spacing w:after="80" w:line="276"/>
      </w:pPr>
      <w:r>
        <w:rPr>
          <w:b/>
          <w:bCs/>
        </w:rPr>
        <w:t xml:space="preserve">Ask Copilot</w:t>
      </w:r>
      <w:r>
        <w:t xml:space="preserve"> (More → Ask Copilot) for anything else: profit, customers who owe, loans, what-if.</w:t>
      </w:r>
    </w:p>
    <w:p>
      <w:pPr>
        <w:pStyle w:val="ListParagraph"/>
        <w:numPr>
          <w:ilvl w:val="0"/>
          <w:numId w:val="3"/>
        </w:numPr>
        <w:spacing w:after="80" w:line="276"/>
      </w:pPr>
      <w:r>
        <w:rPr>
          <w:b/>
          <w:bCs/>
        </w:rPr>
        <w:t xml:space="preserve">Open the Prices tab</w:t>
      </w:r>
      <w:r>
        <w:t xml:space="preserve"> on Home to see market prices near you and where they may go next month.</w:t>
      </w:r>
    </w:p>
    <w:p>
      <w:pPr>
        <w:pStyle w:val="ListParagraph"/>
        <w:numPr>
          <w:ilvl w:val="0"/>
          <w:numId w:val="3"/>
        </w:numPr>
        <w:spacing w:after="80" w:line="276"/>
      </w:pPr>
      <w:r>
        <w:rPr>
          <w:b/>
          <w:bCs/>
        </w:rPr>
        <w:t xml:space="preserve">Confirm only what you want.</w:t>
      </w:r>
      <w:r>
        <w:t xml:space="preserve"> Payments and customer reminders wait for your OK.</w:t>
      </w:r>
    </w:p>
    <w:p>
      <w:pPr>
        <w:pStyle w:val="Heading1"/>
        <w:pageBreakBefore/>
      </w:pPr>
      <w:bookmarkStart w:name="_Toc18" w:id="18"/>
      <w:r>
        <w:t xml:space="preserve">4. System architecture</w:t>
      </w:r>
      <w:bookmarkEnd w:id="18"/>
    </w:p>
    <w:p>
      <w:pPr>
        <w:pStyle w:val="Heading2"/>
      </w:pPr>
      <w:bookmarkStart w:name="_Toc19" w:id="19"/>
      <w:r>
        <w:t xml:space="preserve">4.1 Components</w:t>
      </w:r>
      <w:bookmarkEnd w:id="1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506"/>
        <w:gridCol w:w="5590"/>
      </w:tblGrid>
      <w:tr>
        <w:trPr>
          <w:tblHeader/>
        </w:trPr>
        <w:tc>
          <w:tcPr>
            <w:tcW w:type="dxa" w:w="1542"/>
            <w:tcBorders>
              <w:top w:val="single" w:color="D9D2CA" w:sz="4"/>
              <w:left w:val="single" w:color="D9D2CA" w:sz="4"/>
              <w:bottom w:val="single" w:color="D9D2CA" w:sz="4"/>
              <w:right w:val="single" w:color="D9D2CA" w:sz="4"/>
            </w:tcBorders>
            <w:shd w:fill="FBE9E0" w:color="auto" w:val="clear"/>
            <w:tcMar>
              <w:top w:type="dxa" w:w="60"/>
              <w:left w:type="dxa" w:w="100"/>
              <w:bottom w:type="dxa" w:w="60"/>
              <w:right w:type="dxa" w:w="100"/>
            </w:tcMar>
          </w:tcPr>
          <w:p>
            <w:pPr>
              <w:spacing w:after="0" w:line="264"/>
            </w:pPr>
            <w:r>
              <w:rPr>
                <w:b/>
                <w:bCs/>
              </w:rPr>
              <w:t xml:space="preserve">Layer</w:t>
            </w:r>
          </w:p>
        </w:tc>
        <w:tc>
          <w:tcPr>
            <w:tcW w:type="dxa" w:w="2506"/>
            <w:tcBorders>
              <w:top w:val="single" w:color="D9D2CA" w:sz="4"/>
              <w:left w:val="single" w:color="D9D2CA" w:sz="4"/>
              <w:bottom w:val="single" w:color="D9D2CA" w:sz="4"/>
              <w:right w:val="single" w:color="D9D2CA" w:sz="4"/>
            </w:tcBorders>
            <w:shd w:fill="FBE9E0" w:color="auto" w:val="clear"/>
            <w:tcMar>
              <w:top w:type="dxa" w:w="60"/>
              <w:left w:type="dxa" w:w="100"/>
              <w:bottom w:type="dxa" w:w="60"/>
              <w:right w:type="dxa" w:w="100"/>
            </w:tcMar>
          </w:tcPr>
          <w:p>
            <w:pPr>
              <w:spacing w:after="0" w:line="264"/>
            </w:pPr>
            <w:r>
              <w:rPr>
                <w:b/>
                <w:bCs/>
              </w:rPr>
              <w:t xml:space="preserve">Folder</w:t>
            </w:r>
          </w:p>
        </w:tc>
        <w:tc>
          <w:tcPr>
            <w:tcW w:type="dxa" w:w="5590"/>
            <w:tcBorders>
              <w:top w:val="single" w:color="D9D2CA" w:sz="4"/>
              <w:left w:val="single" w:color="D9D2CA" w:sz="4"/>
              <w:bottom w:val="single" w:color="D9D2CA" w:sz="4"/>
              <w:right w:val="single" w:color="D9D2CA" w:sz="4"/>
            </w:tcBorders>
            <w:shd w:fill="FBE9E0" w:color="auto" w:val="clear"/>
            <w:tcMar>
              <w:top w:type="dxa" w:w="60"/>
              <w:left w:type="dxa" w:w="100"/>
              <w:bottom w:type="dxa" w:w="60"/>
              <w:right w:type="dxa" w:w="100"/>
            </w:tcMar>
          </w:tcPr>
          <w:p>
            <w:pPr>
              <w:spacing w:after="0" w:line="264"/>
            </w:pPr>
            <w:r>
              <w:rPr>
                <w:b/>
                <w:bCs/>
              </w:rPr>
              <w:t xml:space="preserve">Responsibility</w:t>
            </w:r>
          </w:p>
        </w:tc>
      </w:tr>
      <w:tr>
        <w:tc>
          <w:tcPr>
            <w:tcW w:type="dxa" w:w="1542"/>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Interface</w:t>
            </w:r>
          </w:p>
        </w:tc>
        <w:tc>
          <w:tcPr>
            <w:tcW w:type="dxa" w:w="2506"/>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frontend/</w:t>
            </w:r>
          </w:p>
        </w:tc>
        <w:tc>
          <w:tcPr>
            <w:tcW w:type="dxa" w:w="5590"/>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Single-page app in plain JavaScript (no build step), offline shell via a service worker, guided and Advanced views, price drawer (market.js), Chinese dictionary (i18n-zh.js). No innerHTML; strict Content-Security-Policy.</w:t>
            </w:r>
          </w:p>
        </w:tc>
      </w:tr>
      <w:tr>
        <w:tc>
          <w:tcPr>
            <w:tcW w:type="dxa" w:w="1542"/>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API</w:t>
            </w:r>
          </w:p>
        </w:tc>
        <w:tc>
          <w:tcPr>
            <w:tcW w:type="dxa" w:w="2506"/>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sme_copilot/api/</w:t>
            </w:r>
          </w:p>
        </w:tc>
        <w:tc>
          <w:tcPr>
            <w:tcW w:type="dxa" w:w="5590"/>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FastAPI routes for auth, chat (with streaming), tools, data, insights, actions, guided tasks, market prices; request validation with Pydantic.</w:t>
            </w:r>
          </w:p>
        </w:tc>
      </w:tr>
      <w:tr>
        <w:tc>
          <w:tcPr>
            <w:tcW w:type="dxa" w:w="1542"/>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Agent</w:t>
            </w:r>
          </w:p>
        </w:tc>
        <w:tc>
          <w:tcPr>
            <w:tcW w:type="dxa" w:w="2506"/>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sme_copilot/agent/</w:t>
            </w:r>
          </w:p>
        </w:tc>
        <w:tc>
          <w:tcPr>
            <w:tcW w:type="dxa" w:w="5590"/>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Language detection, refusal guardrails, model loop, tool registry and executor, numeric grounding, offline intent engine.</w:t>
            </w:r>
          </w:p>
        </w:tc>
      </w:tr>
      <w:tr>
        <w:tc>
          <w:tcPr>
            <w:tcW w:type="dxa" w:w="1542"/>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Model providers</w:t>
            </w:r>
          </w:p>
        </w:tc>
        <w:tc>
          <w:tcPr>
            <w:tcW w:type="dxa" w:w="2506"/>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sme_copilot/llm_providers/</w:t>
            </w:r>
          </w:p>
        </w:tc>
        <w:tc>
          <w:tcPr>
            <w:tcW w:type="dxa" w:w="5590"/>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One interface for Anthropic, OpenAI, Gemini, OpenAI-compatible endpoints, Ollama and the offline rules engine; routing and fallback.</w:t>
            </w:r>
          </w:p>
        </w:tc>
      </w:tr>
      <w:tr>
        <w:tc>
          <w:tcPr>
            <w:tcW w:type="dxa" w:w="1542"/>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Finance tools</w:t>
            </w:r>
          </w:p>
        </w:tc>
        <w:tc>
          <w:tcPr>
            <w:tcW w:type="dxa" w:w="2506"/>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tools/, forecasting/, financing_catalog/, sandbox/</w:t>
            </w:r>
          </w:p>
        </w:tc>
        <w:tc>
          <w:tcPr>
            <w:tcW w:type="dxa" w:w="5590"/>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All calculations and actions: ingestion, analysis, forecast, what-if, alerts, financing matcher, readiness, PDFs, sandbox payments.</w:t>
            </w:r>
          </w:p>
        </w:tc>
      </w:tr>
      <w:tr>
        <w:tc>
          <w:tcPr>
            <w:tcW w:type="dxa" w:w="1542"/>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Market prices</w:t>
            </w:r>
          </w:p>
        </w:tc>
        <w:tc>
          <w:tcPr>
            <w:tcW w:type="dxa" w:w="2506"/>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sme_copilot/market/</w:t>
            </w:r>
          </w:p>
        </w:tc>
        <w:tc>
          <w:tcPr>
            <w:tcW w:type="dxa" w:w="5590"/>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Public WFP prices (bundled snapshot plus weekly refresh), nearest-area series, Chronos-Bolt or statistical outlook.</w:t>
            </w:r>
          </w:p>
        </w:tc>
      </w:tr>
      <w:tr>
        <w:tc>
          <w:tcPr>
            <w:tcW w:type="dxa" w:w="1542"/>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Guided tasks</w:t>
            </w:r>
          </w:p>
        </w:tc>
        <w:tc>
          <w:tcPr>
            <w:tcW w:type="dxa" w:w="2506"/>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sme_copilot/pilot/</w:t>
            </w:r>
          </w:p>
        </w:tc>
        <w:tc>
          <w:tcPr>
            <w:tcW w:type="dxa" w:w="5590"/>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Six resumable guided tasks and the optional SMS reminder worker.</w:t>
            </w:r>
          </w:p>
        </w:tc>
      </w:tr>
      <w:tr>
        <w:tc>
          <w:tcPr>
            <w:tcW w:type="dxa" w:w="1542"/>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Security</w:t>
            </w:r>
          </w:p>
        </w:tc>
        <w:tc>
          <w:tcPr>
            <w:tcW w:type="dxa" w:w="2506"/>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sme_copilot/security/</w:t>
            </w:r>
          </w:p>
        </w:tc>
        <w:tc>
          <w:tcPr>
            <w:tcW w:type="dxa" w:w="5590"/>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Authentication, permissions, hash-chained audit, PII masking, encryption, injection defence, guardrails, HTTP hardening.</w:t>
            </w:r>
          </w:p>
        </w:tc>
      </w:tr>
      <w:tr>
        <w:tc>
          <w:tcPr>
            <w:tcW w:type="dxa" w:w="1542"/>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Data</w:t>
            </w:r>
          </w:p>
        </w:tc>
        <w:tc>
          <w:tcPr>
            <w:tcW w:type="dxa" w:w="2506"/>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models.py, db.py</w:t>
            </w:r>
          </w:p>
        </w:tc>
        <w:tc>
          <w:tcPr>
            <w:tcW w:type="dxa" w:w="5590"/>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SQLite by default (PostgreSQL via one URL); encrypted sensitive fields; append-only audit table protected by database triggers.</w:t>
            </w:r>
          </w:p>
        </w:tc>
      </w:tr>
    </w:tbl>
    <w:p>
      <w:pPr>
        <w:pStyle w:val="Heading2"/>
      </w:pPr>
      <w:bookmarkStart w:name="_Toc20" w:id="20"/>
      <w:r>
        <w:t xml:space="preserve">4.2 How a request flows</w:t>
      </w:r>
      <w:bookmarkEnd w:id="20"/>
    </w:p>
    <w:p>
      <w:pPr>
        <w:pStyle w:val="ListParagraph"/>
        <w:numPr>
          <w:ilvl w:val="0"/>
          <w:numId w:val="4"/>
        </w:numPr>
        <w:spacing w:after="80" w:line="276"/>
      </w:pPr>
      <w:r>
        <w:t xml:space="preserve">The owner writes a question or entry. The agent detects the language and checks the message against the refusal guardrail and the prompt-injection scanner.</w:t>
      </w:r>
    </w:p>
    <w:p>
      <w:pPr>
        <w:pStyle w:val="ListParagraph"/>
        <w:numPr>
          <w:ilvl w:val="0"/>
          <w:numId w:val="4"/>
        </w:numPr>
        <w:spacing w:after="80" w:line="276"/>
      </w:pPr>
      <w:r>
        <w:t xml:space="preserve">The selected model (or the offline engine) receives the system rules, recent history and the list of tools the user's role allows. Phone and account numbers are masked first if the model is external.</w:t>
      </w:r>
    </w:p>
    <w:p>
      <w:pPr>
        <w:pStyle w:val="ListParagraph"/>
        <w:numPr>
          <w:ilvl w:val="0"/>
          <w:numId w:val="4"/>
        </w:numPr>
        <w:spacing w:after="80" w:line="276"/>
      </w:pPr>
      <w:r>
        <w:t xml:space="preserve">The model asks for a tool. The executor validates the arguments, checks the role and tier, applies limits, and runs the deterministic handler. Money actions only create a pending request.</w:t>
      </w:r>
    </w:p>
    <w:p>
      <w:pPr>
        <w:pStyle w:val="ListParagraph"/>
        <w:numPr>
          <w:ilvl w:val="0"/>
          <w:numId w:val="4"/>
        </w:numPr>
        <w:spacing w:after="80" w:line="276"/>
      </w:pPr>
      <w:r>
        <w:t xml:space="preserve">Every call is written to the hash-chained audit log. The tool result (with its calculation trace) goes back to the model, which explains it in the user's language.</w:t>
      </w:r>
    </w:p>
    <w:p>
      <w:pPr>
        <w:pStyle w:val="ListParagraph"/>
        <w:numPr>
          <w:ilvl w:val="0"/>
          <w:numId w:val="4"/>
        </w:numPr>
        <w:spacing w:after="80" w:line="276"/>
      </w:pPr>
      <w:r>
        <w:t xml:space="preserve">Before the reply is shown, every number in it is checked against the tool results; unmatched numbers are labelled "could not verify".</w:t>
      </w:r>
    </w:p>
    <w:p>
      <w:pPr>
        <w:pStyle w:val="Heading2"/>
      </w:pPr>
      <w:bookmarkStart w:name="_Toc21" w:id="21"/>
      <w:r>
        <w:t xml:space="preserve">4.3 Technology</w:t>
      </w:r>
      <w:bookmarkEnd w:id="21"/>
    </w:p>
    <w:p>
      <w:pPr>
        <w:pStyle w:val="ListParagraph"/>
        <w:numPr>
          <w:ilvl w:val="0"/>
          <w:numId w:val="2"/>
        </w:numPr>
        <w:spacing w:after="80" w:line="276"/>
      </w:pPr>
      <w:r>
        <w:t xml:space="preserve">Python 3.11+, FastAPI, SQLAlchemy, pandas, reportlab, bcrypt, cryptography (Fernet).</w:t>
      </w:r>
    </w:p>
    <w:p>
      <w:pPr>
        <w:pStyle w:val="ListParagraph"/>
        <w:numPr>
          <w:ilvl w:val="0"/>
          <w:numId w:val="2"/>
        </w:numPr>
        <w:spacing w:after="80" w:line="276"/>
      </w:pPr>
      <w:r>
        <w:t xml:space="preserve">Plain JavaScript modules and CSS, no third-party front-end code, fonts or images.</w:t>
      </w:r>
    </w:p>
    <w:p>
      <w:pPr>
        <w:pStyle w:val="ListParagraph"/>
        <w:numPr>
          <w:ilvl w:val="0"/>
          <w:numId w:val="2"/>
        </w:numPr>
        <w:spacing w:after="80" w:line="276"/>
      </w:pPr>
      <w:r>
        <w:t xml:space="preserve">Optional: Ollama or llama.cpp for a local model (default: a shared Gemma 4 model), cloud models by API key, and Chronos-Bolt (PyTorch, CPU) for price outlooks.</w:t>
      </w:r>
    </w:p>
    <w:p>
      <w:pPr>
        <w:pStyle w:val="ListParagraph"/>
        <w:numPr>
          <w:ilvl w:val="0"/>
          <w:numId w:val="2"/>
        </w:numPr>
        <w:spacing w:after="80" w:line="276"/>
      </w:pPr>
      <w:r>
        <w:t xml:space="preserve">Docker image and compose file for a one-command demo.</w:t>
      </w:r>
    </w:p>
    <w:p>
      <w:pPr>
        <w:pStyle w:val="Heading1"/>
        <w:pageBreakBefore/>
      </w:pPr>
      <w:bookmarkStart w:name="_Toc22" w:id="22"/>
      <w:r>
        <w:t xml:space="preserve">5. Core algorithms</w:t>
      </w:r>
      <w:bookmarkEnd w:id="22"/>
    </w:p>
    <w:p>
      <w:pPr>
        <w:pStyle w:val="Heading2"/>
      </w:pPr>
      <w:bookmarkStart w:name="_Toc23" w:id="23"/>
      <w:r>
        <w:t xml:space="preserve">5.1 Cash-flow forecast</w:t>
      </w:r>
      <w:bookmarkEnd w:id="23"/>
    </w:p>
    <w:p>
      <w:pPr>
        <w:spacing w:after="140" w:line="288"/>
      </w:pPr>
      <w:r>
        <w:t xml:space="preserve">balance[t] = balance[t−1] + baseline_in[t] − baseline_out[t] + scheduled[t], for 30, 60 or 90 days. Open invoices arrive on their due date plus that customer's usual delay; bills leave on their due date; repeating costs come from explicit entries or are detected (at least 3 of the last 4 months, amounts within ±35%). The baseline uses the last 90 days with a seasonal factor from last year's same month. The 80% band is ±1.28 × σ(weekly net cash flow) × √(t/7).</w:t>
      </w:r>
    </w:p>
    <w:p>
      <w:pPr>
        <w:pStyle w:val="Heading2"/>
      </w:pPr>
      <w:bookmarkStart w:name="_Toc24" w:id="24"/>
      <w:r>
        <w:t xml:space="preserve">5.2 Financing matcher</w:t>
      </w:r>
      <w:bookmarkEnd w:id="24"/>
    </w:p>
    <w:p>
      <w:pPr>
        <w:pStyle w:val="ListParagraph"/>
        <w:numPr>
          <w:ilvl w:val="0"/>
          <w:numId w:val="2"/>
        </w:numPr>
        <w:spacing w:after="80" w:line="276"/>
      </w:pPr>
      <w:r>
        <w:rPr>
          <w:b/>
          <w:bCs/>
        </w:rPr>
        <w:t xml:space="preserve">Rules:</w:t>
      </w:r>
      <w:r>
        <w:t xml:space="preserve"> age, 6-month revenue, revenue stability, months of records, trade licence, TIN, bank account, women-led, minimum amount, collateral cover and open receivables; each rule produces a sentence.</w:t>
      </w:r>
    </w:p>
    <w:p>
      <w:pPr>
        <w:pStyle w:val="ListParagraph"/>
        <w:numPr>
          <w:ilvl w:val="0"/>
          <w:numId w:val="2"/>
        </w:numPr>
        <w:spacing w:after="80" w:line="276"/>
      </w:pPr>
      <w:r>
        <w:rPr>
          <w:b/>
          <w:bCs/>
        </w:rPr>
        <w:t xml:space="preserve">Repayment ability:</w:t>
      </w:r>
      <w:r>
        <w:t xml:space="preserve"> the largest loan that keeps DSCR at or above the product's minimum: max EMI = operating cash flow ÷ minimum DSCR − existing debt service, converted back through the EMI formula P·r·(1+r)ⁿ / ((1+r)ⁿ − 1).</w:t>
      </w:r>
    </w:p>
    <w:p>
      <w:pPr>
        <w:pStyle w:val="ListParagraph"/>
        <w:numPr>
          <w:ilvl w:val="0"/>
          <w:numId w:val="2"/>
        </w:numPr>
        <w:spacing w:after="80" w:line="276"/>
      </w:pPr>
      <w:r>
        <w:rPr>
          <w:b/>
          <w:bCs/>
        </w:rPr>
        <w:t xml:space="preserve">Offer</w:t>
      </w:r>
      <w:r>
        <w:t xml:space="preserve"> = the smallest of the request, the product maximum, the DSCR capacity and any invoice or supplier limit, with the binding limit named.</w:t>
      </w:r>
    </w:p>
    <w:p>
      <w:pPr>
        <w:pStyle w:val="ListParagraph"/>
        <w:numPr>
          <w:ilvl w:val="0"/>
          <w:numId w:val="2"/>
        </w:numPr>
        <w:spacing w:after="80" w:line="276"/>
      </w:pPr>
      <w:r>
        <w:rPr>
          <w:b/>
          <w:bCs/>
        </w:rPr>
        <w:t xml:space="preserve">Cost</w:t>
      </w:r>
      <w:r>
        <w:t xml:space="preserve"> at the minimum, middle and maximum rate: EMI, total repayment, total cost of credit and effective APR (IRR of the instalments against the money actually received).</w:t>
      </w:r>
    </w:p>
    <w:p>
      <w:pPr>
        <w:pStyle w:val="ListParagraph"/>
        <w:numPr>
          <w:ilvl w:val="0"/>
          <w:numId w:val="2"/>
        </w:numPr>
        <w:spacing w:after="80" w:line="276"/>
      </w:pPr>
      <w:r>
        <w:rPr>
          <w:b/>
          <w:bCs/>
        </w:rPr>
        <w:t xml:space="preserve">Fit score</w:t>
      </w:r>
      <w:r>
        <w:t xml:space="preserve"> = cost 40 + DSCR headroom 20 + amount fit 20 + speed 10 + no collateral 10, with a penalty when the purpose does not match.</w:t>
      </w:r>
    </w:p>
    <w:p>
      <w:pPr>
        <w:pStyle w:val="Heading2"/>
      </w:pPr>
      <w:bookmarkStart w:name="_Toc25" w:id="25"/>
      <w:r>
        <w:t xml:space="preserve">5.3 Loan-readiness score</w:t>
      </w:r>
      <w:bookmarkEnd w:id="25"/>
    </w:p>
    <w:p>
      <w:pPr>
        <w:spacing w:after="140" w:line="288"/>
      </w:pPr>
      <w:r>
        <w:t xml:space="preserve">Eight components totalling 100: business age 10, record keeping 15, revenue stability 15, profitability 15, DSCR 15, documentation 15, receivables health 10, collateral 5. Each comes with a point-valued improvement tip.</w:t>
      </w:r>
    </w:p>
    <w:p>
      <w:pPr>
        <w:pStyle w:val="Heading2"/>
      </w:pPr>
      <w:bookmarkStart w:name="_Toc26" w:id="26"/>
      <w:r>
        <w:t xml:space="preserve">5.4 Numeric grounding</w:t>
      </w:r>
      <w:bookmarkEnd w:id="26"/>
    </w:p>
    <w:p>
      <w:pPr>
        <w:spacing w:after="140" w:line="288"/>
      </w:pPr>
      <w:r>
        <w:t xml:space="preserve">Every number in the final reply (taka amounts, lakh and crore words, percentages, Bangla digits) must match a number in the tool outputs, allowing for rounding, lakh scaling and ratio-to-percent conversion. Anything unmatched is shown to the owner as "could not verify" and counted as a hallucination in the benchmark.</w:t>
      </w:r>
    </w:p>
    <w:p>
      <w:pPr>
        <w:pStyle w:val="Heading2"/>
      </w:pPr>
      <w:bookmarkStart w:name="_Toc27" w:id="27"/>
      <w:r>
        <w:t xml:space="preserve">5.5 Market price outlook</w:t>
      </w:r>
      <w:bookmarkEnd w:id="27"/>
    </w:p>
    <w:p>
      <w:pPr>
        <w:pStyle w:val="ListParagraph"/>
        <w:numPr>
          <w:ilvl w:val="0"/>
          <w:numId w:val="5"/>
        </w:numPr>
        <w:spacing w:after="80" w:line="276"/>
      </w:pPr>
      <w:r>
        <w:rPr>
          <w:b/>
          <w:bCs/>
        </w:rPr>
        <w:t xml:space="preserve">Data:</w:t>
      </w:r>
      <w:r>
        <w:t xml:space="preserve"> World Food Programme "Bangladesh - Food Prices" (HDX, CC BY-IGO): monthly retail prices of about 60 everyday items in about 110 markets. A filtered snapshot (January 2022 to August 2026) is bundled; the server refreshes it at most weekly, never in local-only mode, from HDX hosts only, size-capped and validated before it replaces the old file.</w:t>
      </w:r>
    </w:p>
    <w:p>
      <w:pPr>
        <w:pStyle w:val="ListParagraph"/>
        <w:numPr>
          <w:ilvl w:val="0"/>
          <w:numId w:val="5"/>
        </w:numPr>
        <w:spacing w:after="80" w:line="276"/>
      </w:pPr>
      <w:r>
        <w:rPr>
          <w:b/>
          <w:bCs/>
        </w:rPr>
        <w:t xml:space="preserve">Relevant items:</w:t>
      </w:r>
      <w:r>
        <w:t xml:space="preserve"> each business type has a basket (a restaurant sees rice, broiler chicken, soybean oil, onion and so on). Garment and trims businesses are told that no public fabric price series exists and see running-cost items instead.</w:t>
      </w:r>
    </w:p>
    <w:p>
      <w:pPr>
        <w:pStyle w:val="ListParagraph"/>
        <w:numPr>
          <w:ilvl w:val="0"/>
          <w:numId w:val="5"/>
        </w:numPr>
        <w:spacing w:after="80" w:line="276"/>
      </w:pPr>
      <w:r>
        <w:rPr>
          <w:b/>
          <w:bCs/>
        </w:rPr>
        <w:t xml:space="preserve">Nearest area:</w:t>
      </w:r>
      <w:r>
        <w:t xml:space="preserve"> the business's district, else its division, else all markets; a series needs at least 12 months in the last 36 and data within 3 months of the newest month. Prices are the median across the area's markets per month.</w:t>
      </w:r>
    </w:p>
    <w:p>
      <w:pPr>
        <w:pStyle w:val="ListParagraph"/>
        <w:numPr>
          <w:ilvl w:val="0"/>
          <w:numId w:val="5"/>
        </w:numPr>
        <w:spacing w:after="80" w:line="276"/>
      </w:pPr>
      <w:r>
        <w:rPr>
          <w:b/>
          <w:bCs/>
        </w:rPr>
        <w:t xml:space="preserve">Forecast:</w:t>
      </w:r>
      <w:r>
        <w:t xml:space="preserve"> next calendar month. Chronos-Bolt-small (48M parameters, Apache-2.0, CPU) reads up to 36 months and returns the 10th, 50th and 90th percentiles. Without it, a damped trend plus a month-of-year pattern is used. No forecast more than 6 months past the data; a range wider than 30 points is marked uncertain.</w:t>
      </w:r>
    </w:p>
    <w:p>
      <w:pPr>
        <w:spacing w:after="140" w:line="288"/>
      </w:pPr>
      <w:r>
        <w:rPr>
          <w:b/>
          <w:bCs/>
        </w:rPr>
        <w:t xml:space="preserve">Measured reliability</w:t>
      </w:r>
      <w:r>
        <w:t xml:space="preserve"> (backtest: last 3 months of 170 real market/item series hidden, then forecast):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1735"/>
        <w:gridCol w:w="2602"/>
        <w:gridCol w:w="2602"/>
      </w:tblGrid>
      <w:tr>
        <w:trPr>
          <w:tblHeader/>
        </w:trPr>
        <w:tc>
          <w:tcPr>
            <w:tcW w:type="dxa" w:w="2699"/>
            <w:tcBorders>
              <w:top w:val="single" w:color="D9D2CA" w:sz="4"/>
              <w:left w:val="single" w:color="D9D2CA" w:sz="4"/>
              <w:bottom w:val="single" w:color="D9D2CA" w:sz="4"/>
              <w:right w:val="single" w:color="D9D2CA" w:sz="4"/>
            </w:tcBorders>
            <w:shd w:fill="FBE9E0" w:color="auto" w:val="clear"/>
            <w:tcMar>
              <w:top w:type="dxa" w:w="60"/>
              <w:left w:type="dxa" w:w="100"/>
              <w:bottom w:type="dxa" w:w="60"/>
              <w:right w:type="dxa" w:w="100"/>
            </w:tcMar>
          </w:tcPr>
          <w:p>
            <w:pPr>
              <w:spacing w:after="0" w:line="264"/>
            </w:pPr>
            <w:r>
              <w:rPr>
                <w:b/>
                <w:bCs/>
              </w:rPr>
              <w:t xml:space="preserve">Method</w:t>
            </w:r>
          </w:p>
        </w:tc>
        <w:tc>
          <w:tcPr>
            <w:tcW w:type="dxa" w:w="1735"/>
            <w:tcBorders>
              <w:top w:val="single" w:color="D9D2CA" w:sz="4"/>
              <w:left w:val="single" w:color="D9D2CA" w:sz="4"/>
              <w:bottom w:val="single" w:color="D9D2CA" w:sz="4"/>
              <w:right w:val="single" w:color="D9D2CA" w:sz="4"/>
            </w:tcBorders>
            <w:shd w:fill="FBE9E0" w:color="auto" w:val="clear"/>
            <w:tcMar>
              <w:top w:type="dxa" w:w="60"/>
              <w:left w:type="dxa" w:w="100"/>
              <w:bottom w:type="dxa" w:w="60"/>
              <w:right w:type="dxa" w:w="100"/>
            </w:tcMar>
          </w:tcPr>
          <w:p>
            <w:pPr>
              <w:spacing w:after="0" w:line="264"/>
            </w:pPr>
            <w:r>
              <w:rPr>
                <w:b/>
                <w:bCs/>
              </w:rPr>
              <w:t xml:space="preserve">Median error</w:t>
            </w:r>
          </w:p>
        </w:tc>
        <w:tc>
          <w:tcPr>
            <w:tcW w:type="dxa" w:w="2602"/>
            <w:tcBorders>
              <w:top w:val="single" w:color="D9D2CA" w:sz="4"/>
              <w:left w:val="single" w:color="D9D2CA" w:sz="4"/>
              <w:bottom w:val="single" w:color="D9D2CA" w:sz="4"/>
              <w:right w:val="single" w:color="D9D2CA" w:sz="4"/>
            </w:tcBorders>
            <w:shd w:fill="FBE9E0" w:color="auto" w:val="clear"/>
            <w:tcMar>
              <w:top w:type="dxa" w:w="60"/>
              <w:left w:type="dxa" w:w="100"/>
              <w:bottom w:type="dxa" w:w="60"/>
              <w:right w:type="dxa" w:w="100"/>
            </w:tcMar>
          </w:tcPr>
          <w:p>
            <w:pPr>
              <w:spacing w:after="0" w:line="264"/>
            </w:pPr>
            <w:r>
              <w:rPr>
                <w:b/>
                <w:bCs/>
              </w:rPr>
              <w:t xml:space="preserve">Direction right (moves over 2%)</w:t>
            </w:r>
          </w:p>
        </w:tc>
        <w:tc>
          <w:tcPr>
            <w:tcW w:type="dxa" w:w="2602"/>
            <w:tcBorders>
              <w:top w:val="single" w:color="D9D2CA" w:sz="4"/>
              <w:left w:val="single" w:color="D9D2CA" w:sz="4"/>
              <w:bottom w:val="single" w:color="D9D2CA" w:sz="4"/>
              <w:right w:val="single" w:color="D9D2CA" w:sz="4"/>
            </w:tcBorders>
            <w:shd w:fill="FBE9E0" w:color="auto" w:val="clear"/>
            <w:tcMar>
              <w:top w:type="dxa" w:w="60"/>
              <w:left w:type="dxa" w:w="100"/>
              <w:bottom w:type="dxa" w:w="60"/>
              <w:right w:type="dxa" w:w="100"/>
            </w:tcMar>
          </w:tcPr>
          <w:p>
            <w:pPr>
              <w:spacing w:after="0" w:line="264"/>
            </w:pPr>
            <w:r>
              <w:rPr>
                <w:b/>
                <w:bCs/>
              </w:rPr>
              <w:t xml:space="preserve">10–90% range held the real price</w:t>
            </w:r>
          </w:p>
        </w:tc>
      </w:tr>
      <w:tr>
        <w:tc>
          <w:tcPr>
            <w:tcW w:type="dxa" w:w="2699"/>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No change</w:t>
            </w:r>
          </w:p>
        </w:tc>
        <w:tc>
          <w:tcPr>
            <w:tcW w:type="dxa" w:w="1735"/>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1.98%</w:t>
            </w:r>
          </w:p>
        </w:tc>
        <w:tc>
          <w:tcPr>
            <w:tcW w:type="dxa" w:w="2602"/>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n/a</w:t>
            </w:r>
          </w:p>
        </w:tc>
        <w:tc>
          <w:tcPr>
            <w:tcW w:type="dxa" w:w="2602"/>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n/a</w:t>
            </w:r>
          </w:p>
        </w:tc>
      </w:tr>
      <w:tr>
        <w:tc>
          <w:tcPr>
            <w:tcW w:type="dxa" w:w="2699"/>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Statistical</w:t>
            </w:r>
          </w:p>
        </w:tc>
        <w:tc>
          <w:tcPr>
            <w:tcW w:type="dxa" w:w="1735"/>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3.19%</w:t>
            </w:r>
          </w:p>
        </w:tc>
        <w:tc>
          <w:tcPr>
            <w:tcW w:type="dxa" w:w="2602"/>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63.5%</w:t>
            </w:r>
          </w:p>
        </w:tc>
        <w:tc>
          <w:tcPr>
            <w:tcW w:type="dxa" w:w="2602"/>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78.2%</w:t>
            </w:r>
          </w:p>
        </w:tc>
      </w:tr>
      <w:tr>
        <w:tc>
          <w:tcPr>
            <w:tcW w:type="dxa" w:w="2699"/>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Chronos-Bolt-small</w:t>
            </w:r>
          </w:p>
        </w:tc>
        <w:tc>
          <w:tcPr>
            <w:tcW w:type="dxa" w:w="1735"/>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2.31%</w:t>
            </w:r>
          </w:p>
        </w:tc>
        <w:tc>
          <w:tcPr>
            <w:tcW w:type="dxa" w:w="2602"/>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57.6%</w:t>
            </w:r>
          </w:p>
        </w:tc>
        <w:tc>
          <w:tcPr>
            <w:tcW w:type="dxa" w:w="2602"/>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79.4%</w:t>
            </w:r>
          </w:p>
        </w:tc>
      </w:tr>
    </w:tbl>
    <w:p>
      <w:pPr>
        <w:spacing w:after="140" w:line="288"/>
      </w:pPr>
      <w:r>
        <w:t xml:space="preserve">The ranges are well calibrated (the ideal is 80%), while point forecasts do not beat "no change" because prices are sticky. The drawer therefore leads with the range and calls moves under 2% "likely steady". Chat models are not used for prices: they have no reliable local price history.</w:t>
      </w:r>
    </w:p>
    <w:p>
      <w:pPr>
        <w:pStyle w:val="Heading2"/>
      </w:pPr>
      <w:bookmarkStart w:name="_Toc28" w:id="28"/>
      <w:r>
        <w:t xml:space="preserve">5.6 Language detection</w:t>
      </w:r>
      <w:bookmarkEnd w:id="28"/>
    </w:p>
    <w:p>
      <w:pPr>
        <w:spacing w:after="140" w:line="288"/>
      </w:pPr>
      <w:r>
        <w:t xml:space="preserve">Chinese when at least two Chinese characters make up 20% or more of the letters; Bangla when Bangla script makes up at least 30%; Banglish when Latin text contains Bangla marker words (ami, koto, dilam, lagbe…); otherwise English.</w:t>
      </w:r>
    </w:p>
    <w:p>
      <w:pPr>
        <w:pStyle w:val="Heading1"/>
        <w:pageBreakBefore/>
      </w:pPr>
      <w:bookmarkStart w:name="_Toc29" w:id="29"/>
      <w:r>
        <w:t xml:space="preserve">6. Security design</w:t>
      </w:r>
      <w:bookmarkEnd w:id="29"/>
    </w:p>
    <w:p>
      <w:pPr>
        <w:pStyle w:val="Heading2"/>
      </w:pPr>
      <w:bookmarkStart w:name="_Toc30" w:id="30"/>
      <w:r>
        <w:t xml:space="preserve">6.1 Permission tiers</w:t>
      </w:r>
      <w:bookmarkEnd w:id="3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3084"/>
        <w:gridCol w:w="1735"/>
        <w:gridCol w:w="4048"/>
      </w:tblGrid>
      <w:tr>
        <w:trPr>
          <w:tblHeader/>
        </w:trPr>
        <w:tc>
          <w:tcPr>
            <w:tcW w:type="dxa" w:w="771"/>
            <w:tcBorders>
              <w:top w:val="single" w:color="D9D2CA" w:sz="4"/>
              <w:left w:val="single" w:color="D9D2CA" w:sz="4"/>
              <w:bottom w:val="single" w:color="D9D2CA" w:sz="4"/>
              <w:right w:val="single" w:color="D9D2CA" w:sz="4"/>
            </w:tcBorders>
            <w:shd w:fill="FBE9E0" w:color="auto" w:val="clear"/>
            <w:tcMar>
              <w:top w:type="dxa" w:w="60"/>
              <w:left w:type="dxa" w:w="100"/>
              <w:bottom w:type="dxa" w:w="60"/>
              <w:right w:type="dxa" w:w="100"/>
            </w:tcMar>
          </w:tcPr>
          <w:p>
            <w:pPr>
              <w:spacing w:after="0" w:line="264"/>
            </w:pPr>
            <w:r>
              <w:rPr>
                <w:b/>
                <w:bCs/>
              </w:rPr>
              <w:t xml:space="preserve">Tier</w:t>
            </w:r>
          </w:p>
        </w:tc>
        <w:tc>
          <w:tcPr>
            <w:tcW w:type="dxa" w:w="3084"/>
            <w:tcBorders>
              <w:top w:val="single" w:color="D9D2CA" w:sz="4"/>
              <w:left w:val="single" w:color="D9D2CA" w:sz="4"/>
              <w:bottom w:val="single" w:color="D9D2CA" w:sz="4"/>
              <w:right w:val="single" w:color="D9D2CA" w:sz="4"/>
            </w:tcBorders>
            <w:shd w:fill="FBE9E0" w:color="auto" w:val="clear"/>
            <w:tcMar>
              <w:top w:type="dxa" w:w="60"/>
              <w:left w:type="dxa" w:w="100"/>
              <w:bottom w:type="dxa" w:w="60"/>
              <w:right w:type="dxa" w:w="100"/>
            </w:tcMar>
          </w:tcPr>
          <w:p>
            <w:pPr>
              <w:spacing w:after="0" w:line="264"/>
            </w:pPr>
            <w:r>
              <w:rPr>
                <w:b/>
                <w:bCs/>
              </w:rPr>
              <w:t xml:space="preserve">What</w:t>
            </w:r>
          </w:p>
        </w:tc>
        <w:tc>
          <w:tcPr>
            <w:tcW w:type="dxa" w:w="1735"/>
            <w:tcBorders>
              <w:top w:val="single" w:color="D9D2CA" w:sz="4"/>
              <w:left w:val="single" w:color="D9D2CA" w:sz="4"/>
              <w:bottom w:val="single" w:color="D9D2CA" w:sz="4"/>
              <w:right w:val="single" w:color="D9D2CA" w:sz="4"/>
            </w:tcBorders>
            <w:shd w:fill="FBE9E0" w:color="auto" w:val="clear"/>
            <w:tcMar>
              <w:top w:type="dxa" w:w="60"/>
              <w:left w:type="dxa" w:w="100"/>
              <w:bottom w:type="dxa" w:w="60"/>
              <w:right w:type="dxa" w:w="100"/>
            </w:tcMar>
          </w:tcPr>
          <w:p>
            <w:pPr>
              <w:spacing w:after="0" w:line="264"/>
            </w:pPr>
            <w:r>
              <w:rPr>
                <w:b/>
                <w:bCs/>
              </w:rPr>
              <w:t xml:space="preserve">Who</w:t>
            </w:r>
          </w:p>
        </w:tc>
        <w:tc>
          <w:tcPr>
            <w:tcW w:type="dxa" w:w="4048"/>
            <w:tcBorders>
              <w:top w:val="single" w:color="D9D2CA" w:sz="4"/>
              <w:left w:val="single" w:color="D9D2CA" w:sz="4"/>
              <w:bottom w:val="single" w:color="D9D2CA" w:sz="4"/>
              <w:right w:val="single" w:color="D9D2CA" w:sz="4"/>
            </w:tcBorders>
            <w:shd w:fill="FBE9E0" w:color="auto" w:val="clear"/>
            <w:tcMar>
              <w:top w:type="dxa" w:w="60"/>
              <w:left w:type="dxa" w:w="100"/>
              <w:bottom w:type="dxa" w:w="60"/>
              <w:right w:type="dxa" w:w="100"/>
            </w:tcMar>
          </w:tcPr>
          <w:p>
            <w:pPr>
              <w:spacing w:after="0" w:line="264"/>
            </w:pPr>
            <w:r>
              <w:rPr>
                <w:b/>
                <w:bCs/>
              </w:rPr>
              <w:t xml:space="preserve">Controls</w:t>
            </w:r>
          </w:p>
        </w:tc>
      </w:tr>
      <w:tr>
        <w:tc>
          <w:tcPr>
            <w:tcW w:type="dxa" w:w="771"/>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0</w:t>
            </w:r>
          </w:p>
        </w:tc>
        <w:tc>
          <w:tcPr>
            <w:tcW w:type="dxa" w:w="3084"/>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Read-only analysis (18 tools)</w:t>
            </w:r>
          </w:p>
        </w:tc>
        <w:tc>
          <w:tcPr>
            <w:tcW w:type="dxa" w:w="1735"/>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Everyone</w:t>
            </w:r>
          </w:p>
        </w:tc>
        <w:tc>
          <w:tcPr>
            <w:tcW w:type="dxa" w:w="4048"/>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Audited</w:t>
            </w:r>
          </w:p>
        </w:tc>
      </w:tr>
      <w:tr>
        <w:tc>
          <w:tcPr>
            <w:tcW w:type="dxa" w:w="771"/>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1</w:t>
            </w:r>
          </w:p>
        </w:tc>
        <w:tc>
          <w:tcPr>
            <w:tcW w:type="dxa" w:w="3084"/>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Entries, drafts, reminders, reports (8 tools)</w:t>
            </w:r>
          </w:p>
        </w:tc>
        <w:tc>
          <w:tcPr>
            <w:tcW w:type="dxa" w:w="1735"/>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Accountant, owner</w:t>
            </w:r>
          </w:p>
        </w:tc>
        <w:tc>
          <w:tcPr>
            <w:tcW w:type="dxa" w:w="4048"/>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Audited; customer reminders wait for the owner's OK</w:t>
            </w:r>
          </w:p>
        </w:tc>
      </w:tr>
      <w:tr>
        <w:tc>
          <w:tcPr>
            <w:tcW w:type="dxa" w:w="771"/>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2</w:t>
            </w:r>
          </w:p>
        </w:tc>
        <w:tc>
          <w:tcPr>
            <w:tcW w:type="dxa" w:w="3084"/>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Sandbox money movement (2 tools)</w:t>
            </w:r>
          </w:p>
        </w:tc>
        <w:tc>
          <w:tcPr>
            <w:tcW w:type="dxa" w:w="1735"/>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Owner only</w:t>
            </w:r>
          </w:p>
        </w:tc>
        <w:tc>
          <w:tcPr>
            <w:tcW w:type="dxa" w:w="4048"/>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Retyped amount; password again at ৳50,000+; per-payment limit; daily cap including reservations; 10-minute expiry; no replay; re-checked at execution</w:t>
            </w:r>
          </w:p>
        </w:tc>
      </w:tr>
      <w:tr>
        <w:tc>
          <w:tcPr>
            <w:tcW w:type="dxa" w:w="771"/>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3</w:t>
            </w:r>
          </w:p>
        </w:tc>
        <w:tc>
          <w:tcPr>
            <w:tcW w:type="dxa" w:w="3084"/>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Real bank transfer, limit changes, audit deletion, bulk export (4 tools)</w:t>
            </w:r>
          </w:p>
        </w:tc>
        <w:tc>
          <w:tcPr>
            <w:tcW w:type="dxa" w:w="1735"/>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Nobody</w:t>
            </w:r>
          </w:p>
        </w:tc>
        <w:tc>
          <w:tcPr>
            <w:tcW w:type="dxa" w:w="4048"/>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Registered only so that attempts are refused and audited</w:t>
            </w:r>
          </w:p>
        </w:tc>
      </w:tr>
    </w:tbl>
    <w:p>
      <w:pPr>
        <w:spacing w:after="140" w:line="288"/>
      </w:pPr>
      <w:r>
        <w:t xml:space="preserve">Every request, whether from the model, the offline engine or a button, passes one executor: argument validation → role and tier → limits → confirmation (money) → hash-chained audit. There is no tool that confirms a payment, so the model cannot approve its own request, and the confirming user's role is checked before anything else.</w:t>
      </w:r>
    </w:p>
    <w:p>
      <w:pPr>
        <w:pStyle w:val="Heading2"/>
      </w:pPr>
      <w:bookmarkStart w:name="_Toc31" w:id="31"/>
      <w:r>
        <w:t xml:space="preserve">6.2 Controls</w:t>
      </w:r>
      <w:bookmarkEnd w:id="31"/>
    </w:p>
    <w:p>
      <w:pPr>
        <w:pStyle w:val="ListParagraph"/>
        <w:numPr>
          <w:ilvl w:val="0"/>
          <w:numId w:val="2"/>
        </w:numPr>
        <w:spacing w:after="80" w:line="276"/>
      </w:pPr>
      <w:r>
        <w:rPr>
          <w:b/>
          <w:bCs/>
        </w:rPr>
        <w:t xml:space="preserve">Login:</w:t>
      </w:r>
      <w:r>
        <w:t xml:space="preserve"> bcrypt (cost 12); the same message and the same response time for an unknown user and a wrong password; lockout after 5 failures for 15 minutes; 10 login attempts per minute per address.</w:t>
      </w:r>
    </w:p>
    <w:p>
      <w:pPr>
        <w:pStyle w:val="ListParagraph"/>
        <w:numPr>
          <w:ilvl w:val="0"/>
          <w:numId w:val="2"/>
        </w:numPr>
        <w:spacing w:after="80" w:line="276"/>
      </w:pPr>
      <w:r>
        <w:rPr>
          <w:b/>
          <w:bCs/>
        </w:rPr>
        <w:t xml:space="preserve">Sessions:</w:t>
      </w:r>
      <w:r>
        <w:t xml:space="preserve"> an HttpOnly, SameSite=Strict cookie that page scripts cannot read, plus a CSRF token on every change; tokens stored only as SHA-256 hashes; expiry and logout revocation. No password or token is kept in browser storage.</w:t>
      </w:r>
    </w:p>
    <w:p>
      <w:pPr>
        <w:pStyle w:val="ListParagraph"/>
        <w:numPr>
          <w:ilvl w:val="0"/>
          <w:numId w:val="2"/>
        </w:numPr>
        <w:spacing w:after="80" w:line="276"/>
      </w:pPr>
      <w:r>
        <w:rPr>
          <w:b/>
          <w:bCs/>
        </w:rPr>
        <w:t xml:space="preserve">Web:</w:t>
      </w:r>
      <w:r>
        <w:t xml:space="preserve"> strict Content-Security-Policy, no innerHTML, nosniff, frame denial, HSTS over HTTPS, 5 MB upload limit, XML-bomb-safe spreadsheet parsing.</w:t>
      </w:r>
    </w:p>
    <w:p>
      <w:pPr>
        <w:pStyle w:val="ListParagraph"/>
        <w:numPr>
          <w:ilvl w:val="0"/>
          <w:numId w:val="2"/>
        </w:numPr>
        <w:spacing w:after="80" w:line="276"/>
      </w:pPr>
      <w:r>
        <w:rPr>
          <w:b/>
          <w:bCs/>
        </w:rPr>
        <w:t xml:space="preserve">Data:</w:t>
      </w:r>
      <w:r>
        <w:t xml:space="preserve"> Fernet encryption of account and wallet numbers, phones, TIN and trade licence; phone, account, NID, TIN, email and card numbers masked before any external model; local-only mode; export and deletion for the owner.</w:t>
      </w:r>
    </w:p>
    <w:p>
      <w:pPr>
        <w:pStyle w:val="ListParagraph"/>
        <w:numPr>
          <w:ilvl w:val="0"/>
          <w:numId w:val="2"/>
        </w:numPr>
        <w:spacing w:after="80" w:line="276"/>
      </w:pPr>
      <w:r>
        <w:rPr>
          <w:b/>
          <w:bCs/>
        </w:rPr>
        <w:t xml:space="preserve">Audit:</w:t>
      </w:r>
      <w:r>
        <w:t xml:space="preserve"> SHA-256 hash chain over every event, database triggers that block edits and deletes, and a verification endpoint and command.</w:t>
      </w:r>
    </w:p>
    <w:p>
      <w:pPr>
        <w:pStyle w:val="ListParagraph"/>
        <w:numPr>
          <w:ilvl w:val="0"/>
          <w:numId w:val="2"/>
        </w:numPr>
        <w:spacing w:after="80" w:line="276"/>
      </w:pPr>
      <w:r>
        <w:rPr>
          <w:b/>
          <w:bCs/>
        </w:rPr>
        <w:t xml:space="preserve">AI safety:</w:t>
      </w:r>
      <w:r>
        <w:t xml:space="preserve"> prompt-injection rows flagged at import and neutralised before reaching the model; suspicious chat turns lose money tools; a deterministic refusal guardrail for fraud, fake documents, inflated numbers for lenders, tax evasion, two sets of books, laundering and bribery in English, Bangla, Banglish and Chinese.</w:t>
      </w:r>
    </w:p>
    <w:p>
      <w:pPr>
        <w:pStyle w:val="ListParagraph"/>
        <w:numPr>
          <w:ilvl w:val="0"/>
          <w:numId w:val="2"/>
        </w:numPr>
        <w:spacing w:after="80" w:line="276"/>
      </w:pPr>
      <w:r>
        <w:rPr>
          <w:b/>
          <w:bCs/>
        </w:rPr>
        <w:t xml:space="preserve">Network:</w:t>
      </w:r>
      <w:r>
        <w:t xml:space="preserve"> the website stays on this computer unless the Wi-Fi launcher is used.</w:t>
      </w:r>
    </w:p>
    <w:p>
      <w:pPr>
        <w:pStyle w:val="Heading2"/>
      </w:pPr>
      <w:bookmarkStart w:name="_Toc32" w:id="32"/>
      <w:r>
        <w:t xml:space="preserve">6.3 Security review of 19 October 2026</w:t>
      </w:r>
      <w:bookmarkEnd w:id="32"/>
    </w:p>
    <w:p>
      <w:pPr>
        <w:spacing w:after="140" w:line="288"/>
      </w:pPr>
      <w:r>
        <w:t xml:space="preserve">Code reading plus live tests against a local server (login timing, CSRF, rate limits, browser storage, stored XSS, cross-business IDs).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3855"/>
        <w:gridCol w:w="2121"/>
      </w:tblGrid>
      <w:tr>
        <w:trPr>
          <w:tblHeader/>
        </w:trPr>
        <w:tc>
          <w:tcPr>
            <w:tcW w:type="dxa" w:w="3662"/>
            <w:tcBorders>
              <w:top w:val="single" w:color="D9D2CA" w:sz="4"/>
              <w:left w:val="single" w:color="D9D2CA" w:sz="4"/>
              <w:bottom w:val="single" w:color="D9D2CA" w:sz="4"/>
              <w:right w:val="single" w:color="D9D2CA" w:sz="4"/>
            </w:tcBorders>
            <w:shd w:fill="FBE9E0" w:color="auto" w:val="clear"/>
            <w:tcMar>
              <w:top w:type="dxa" w:w="60"/>
              <w:left w:type="dxa" w:w="100"/>
              <w:bottom w:type="dxa" w:w="60"/>
              <w:right w:type="dxa" w:w="100"/>
            </w:tcMar>
          </w:tcPr>
          <w:p>
            <w:pPr>
              <w:spacing w:after="0" w:line="264"/>
            </w:pPr>
            <w:r>
              <w:rPr>
                <w:b/>
                <w:bCs/>
              </w:rPr>
              <w:t xml:space="preserve">Finding</w:t>
            </w:r>
          </w:p>
        </w:tc>
        <w:tc>
          <w:tcPr>
            <w:tcW w:type="dxa" w:w="3855"/>
            <w:tcBorders>
              <w:top w:val="single" w:color="D9D2CA" w:sz="4"/>
              <w:left w:val="single" w:color="D9D2CA" w:sz="4"/>
              <w:bottom w:val="single" w:color="D9D2CA" w:sz="4"/>
              <w:right w:val="single" w:color="D9D2CA" w:sz="4"/>
            </w:tcBorders>
            <w:shd w:fill="FBE9E0" w:color="auto" w:val="clear"/>
            <w:tcMar>
              <w:top w:type="dxa" w:w="60"/>
              <w:left w:type="dxa" w:w="100"/>
              <w:bottom w:type="dxa" w:w="60"/>
              <w:right w:type="dxa" w:w="100"/>
            </w:tcMar>
          </w:tcPr>
          <w:p>
            <w:pPr>
              <w:spacing w:after="0" w:line="264"/>
            </w:pPr>
            <w:r>
              <w:rPr>
                <w:b/>
                <w:bCs/>
              </w:rPr>
              <w:t xml:space="preserve">Fix</w:t>
            </w:r>
          </w:p>
        </w:tc>
        <w:tc>
          <w:tcPr>
            <w:tcW w:type="dxa" w:w="2121"/>
            <w:tcBorders>
              <w:top w:val="single" w:color="D9D2CA" w:sz="4"/>
              <w:left w:val="single" w:color="D9D2CA" w:sz="4"/>
              <w:bottom w:val="single" w:color="D9D2CA" w:sz="4"/>
              <w:right w:val="single" w:color="D9D2CA" w:sz="4"/>
            </w:tcBorders>
            <w:shd w:fill="FBE9E0" w:color="auto" w:val="clear"/>
            <w:tcMar>
              <w:top w:type="dxa" w:w="60"/>
              <w:left w:type="dxa" w:w="100"/>
              <w:bottom w:type="dxa" w:w="60"/>
              <w:right w:type="dxa" w:w="100"/>
            </w:tcMar>
          </w:tcPr>
          <w:p>
            <w:pPr>
              <w:spacing w:after="0" w:line="264"/>
            </w:pPr>
            <w:r>
              <w:rPr>
                <w:b/>
                <w:bCs/>
              </w:rPr>
              <w:t xml:space="preserve">Proof</w:t>
            </w:r>
          </w:p>
        </w:tc>
      </w:tr>
      <w:tr>
        <w:tc>
          <w:tcPr>
            <w:tcW w:type="dxa" w:w="3662"/>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Login timing revealed which usernames exist (about 210 ms vs 5 ms)</w:t>
            </w:r>
          </w:p>
        </w:tc>
        <w:tc>
          <w:tcPr>
            <w:tcW w:type="dxa" w:w="3855"/>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Unknown users checked against a same-cost hash created at startup; measured gap now 0 ms</w:t>
            </w:r>
          </w:p>
        </w:tc>
        <w:tc>
          <w:tcPr>
            <w:tcW w:type="dxa" w:w="2121"/>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Regression test</w:t>
            </w:r>
          </w:p>
        </w:tc>
      </w:tr>
      <w:tr>
        <w:tc>
          <w:tcPr>
            <w:tcW w:type="dxa" w:w="3662"/>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An accountant could cancel the owner's pending payment by "confirming" it with the right amount</w:t>
            </w:r>
          </w:p>
        </w:tc>
        <w:tc>
          <w:tcPr>
            <w:tcW w:type="dxa" w:w="3855"/>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Role checked first; refusal (403) leaves the request pending</w:t>
            </w:r>
          </w:p>
        </w:tc>
        <w:tc>
          <w:tcPr>
            <w:tcW w:type="dxa" w:w="2121"/>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Regression test; evidence step 21</w:t>
            </w:r>
          </w:p>
        </w:tc>
      </w:tr>
      <w:tr>
        <w:tc>
          <w:tcPr>
            <w:tcW w:type="dxa" w:w="3662"/>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Spreadsheet uploads open to XML bombs</w:t>
            </w:r>
          </w:p>
        </w:tc>
        <w:tc>
          <w:tcPr>
            <w:tcW w:type="dxa" w:w="3855"/>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defusedxml added; used automatically by openpyxl</w:t>
            </w:r>
          </w:p>
        </w:tc>
        <w:tc>
          <w:tcPr>
            <w:tcW w:type="dxa" w:w="2121"/>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Regression test</w:t>
            </w:r>
          </w:p>
        </w:tc>
      </w:tr>
      <w:tr>
        <w:tc>
          <w:tcPr>
            <w:tcW w:type="dxa" w:w="3662"/>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Fraud requests written in Chinese were not refused once Chinese became an interface language</w:t>
            </w:r>
          </w:p>
        </w:tc>
        <w:tc>
          <w:tcPr>
            <w:tcW w:type="dxa" w:w="3855"/>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Chinese patterns for all six offence families; ordinary questions unaffected</w:t>
            </w:r>
          </w:p>
        </w:tc>
        <w:tc>
          <w:tcPr>
            <w:tcW w:type="dxa" w:w="2121"/>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14 tests; evidence step 33</w:t>
            </w:r>
          </w:p>
        </w:tc>
      </w:tr>
      <w:tr>
        <w:tc>
          <w:tcPr>
            <w:tcW w:type="dxa" w:w="3662"/>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Website launcher listened on the whole network while demo mode shows the demo logins</w:t>
            </w:r>
          </w:p>
        </w:tc>
        <w:tc>
          <w:tcPr>
            <w:tcW w:type="dxa" w:w="3855"/>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Default this-computer-only; explicit Wi-Fi launcher with a warning</w:t>
            </w:r>
          </w:p>
        </w:tc>
        <w:tc>
          <w:tcPr>
            <w:tcW w:type="dxa" w:w="2121"/>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Manual check of both modes</w:t>
            </w:r>
          </w:p>
        </w:tc>
      </w:tr>
      <w:tr>
        <w:tc>
          <w:tcPr>
            <w:tcW w:type="dxa" w:w="3662"/>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Forecasting weights could be loaded from a pickle file</w:t>
            </w:r>
          </w:p>
        </w:tc>
        <w:tc>
          <w:tcPr>
            <w:tcW w:type="dxa" w:w="3855"/>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Safetensors only</w:t>
            </w:r>
          </w:p>
        </w:tc>
        <w:tc>
          <w:tcPr>
            <w:tcW w:type="dxa" w:w="2121"/>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Manual load check</w:t>
            </w:r>
          </w:p>
        </w:tc>
      </w:tr>
    </w:tbl>
    <w:p>
      <w:pPr>
        <w:spacing w:after="140" w:line="288"/>
      </w:pPr>
      <w:r>
        <w:t xml:space="preserve">Verified as sound in the same review: browser storage, the HttpOnly cookie, CSRF rejection, logout revocation, login throttling, HTML shown as text (no script ran), business isolation on every ID lookup, and no secrets in the 60-commit history.</w:t>
      </w:r>
    </w:p>
    <w:p>
      <w:pPr>
        <w:pStyle w:val="Heading2"/>
      </w:pPr>
      <w:bookmarkStart w:name="_Toc33" w:id="33"/>
      <w:r>
        <w:t xml:space="preserve">6.4 Remaining risks</w:t>
      </w:r>
      <w:bookmarkEnd w:id="33"/>
    </w:p>
    <w:p>
      <w:pPr>
        <w:pStyle w:val="ListParagraph"/>
        <w:numPr>
          <w:ilvl w:val="0"/>
          <w:numId w:val="2"/>
        </w:numPr>
        <w:spacing w:after="80" w:line="276"/>
      </w:pPr>
      <w:r>
        <w:t xml:space="preserve">No multi-factor authentication yet; someone in full control of the owner's computer could copy the session cookie (not the password) until it expires or the owner logs out.</w:t>
      </w:r>
    </w:p>
    <w:p>
      <w:pPr>
        <w:pStyle w:val="ListParagraph"/>
        <w:numPr>
          <w:ilvl w:val="0"/>
          <w:numId w:val="2"/>
        </w:numPr>
        <w:spacing w:after="80" w:line="276"/>
      </w:pPr>
      <w:r>
        <w:t xml:space="preserve">Cloud models see business figures when the owner chooses one (local-only mode prevents this).</w:t>
      </w:r>
    </w:p>
    <w:p>
      <w:pPr>
        <w:pStyle w:val="ListParagraph"/>
        <w:numPr>
          <w:ilvl w:val="0"/>
          <w:numId w:val="2"/>
        </w:numPr>
        <w:spacing w:after="80" w:line="276"/>
      </w:pPr>
      <w:r>
        <w:t xml:space="preserve">A model can still phrase advice misleadingly; traces, grounding labels and disclaimers mitigate it.</w:t>
      </w:r>
    </w:p>
    <w:p>
      <w:pPr>
        <w:pStyle w:val="ListParagraph"/>
        <w:numPr>
          <w:ilvl w:val="0"/>
          <w:numId w:val="2"/>
        </w:numPr>
        <w:spacing w:after="80" w:line="276"/>
      </w:pPr>
      <w:r>
        <w:t xml:space="preserve">Paraphrased fraud requests may evade the keyword guardrail; the model's own policy is the second layer, and no request can move money without the owner.</w:t>
      </w:r>
    </w:p>
    <w:p>
      <w:pPr>
        <w:pStyle w:val="Heading1"/>
        <w:pageBreakBefore/>
      </w:pPr>
      <w:bookmarkStart w:name="_Toc34" w:id="34"/>
      <w:r>
        <w:t xml:space="preserve">7. Data, privacy and compliance</w:t>
      </w:r>
      <w:bookmarkEnd w:id="3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4241"/>
        <w:gridCol w:w="2698"/>
      </w:tblGrid>
      <w:tr>
        <w:trPr>
          <w:tblHeader/>
        </w:trPr>
        <w:tc>
          <w:tcPr>
            <w:tcW w:type="dxa" w:w="2699"/>
            <w:tcBorders>
              <w:top w:val="single" w:color="D9D2CA" w:sz="4"/>
              <w:left w:val="single" w:color="D9D2CA" w:sz="4"/>
              <w:bottom w:val="single" w:color="D9D2CA" w:sz="4"/>
              <w:right w:val="single" w:color="D9D2CA" w:sz="4"/>
            </w:tcBorders>
            <w:shd w:fill="FBE9E0" w:color="auto" w:val="clear"/>
            <w:tcMar>
              <w:top w:type="dxa" w:w="60"/>
              <w:left w:type="dxa" w:w="100"/>
              <w:bottom w:type="dxa" w:w="60"/>
              <w:right w:type="dxa" w:w="100"/>
            </w:tcMar>
          </w:tcPr>
          <w:p>
            <w:pPr>
              <w:spacing w:after="0" w:line="264"/>
            </w:pPr>
            <w:r>
              <w:rPr>
                <w:b/>
                <w:bCs/>
              </w:rPr>
              <w:t xml:space="preserve">Data</w:t>
            </w:r>
          </w:p>
        </w:tc>
        <w:tc>
          <w:tcPr>
            <w:tcW w:type="dxa" w:w="4241"/>
            <w:tcBorders>
              <w:top w:val="single" w:color="D9D2CA" w:sz="4"/>
              <w:left w:val="single" w:color="D9D2CA" w:sz="4"/>
              <w:bottom w:val="single" w:color="D9D2CA" w:sz="4"/>
              <w:right w:val="single" w:color="D9D2CA" w:sz="4"/>
            </w:tcBorders>
            <w:shd w:fill="FBE9E0" w:color="auto" w:val="clear"/>
            <w:tcMar>
              <w:top w:type="dxa" w:w="60"/>
              <w:left w:type="dxa" w:w="100"/>
              <w:bottom w:type="dxa" w:w="60"/>
              <w:right w:type="dxa" w:w="100"/>
            </w:tcMar>
          </w:tcPr>
          <w:p>
            <w:pPr>
              <w:spacing w:after="0" w:line="264"/>
            </w:pPr>
            <w:r>
              <w:rPr>
                <w:b/>
                <w:bCs/>
              </w:rPr>
              <w:t xml:space="preserve">Source and licence</w:t>
            </w:r>
          </w:p>
        </w:tc>
        <w:tc>
          <w:tcPr>
            <w:tcW w:type="dxa" w:w="2698"/>
            <w:tcBorders>
              <w:top w:val="single" w:color="D9D2CA" w:sz="4"/>
              <w:left w:val="single" w:color="D9D2CA" w:sz="4"/>
              <w:bottom w:val="single" w:color="D9D2CA" w:sz="4"/>
              <w:right w:val="single" w:color="D9D2CA" w:sz="4"/>
            </w:tcBorders>
            <w:shd w:fill="FBE9E0" w:color="auto" w:val="clear"/>
            <w:tcMar>
              <w:top w:type="dxa" w:w="60"/>
              <w:left w:type="dxa" w:w="100"/>
              <w:bottom w:type="dxa" w:w="60"/>
              <w:right w:type="dxa" w:w="100"/>
            </w:tcMar>
          </w:tcPr>
          <w:p>
            <w:pPr>
              <w:spacing w:after="0" w:line="264"/>
            </w:pPr>
            <w:r>
              <w:rPr>
                <w:b/>
                <w:bCs/>
              </w:rPr>
              <w:t xml:space="preserve">Use</w:t>
            </w:r>
          </w:p>
        </w:tc>
      </w:tr>
      <w:tr>
        <w:tc>
          <w:tcPr>
            <w:tcW w:type="dxa" w:w="2699"/>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Demo business (Nusrat Trims &amp; Accessories)</w:t>
            </w:r>
          </w:p>
        </w:tc>
        <w:tc>
          <w:tcPr>
            <w:tcW w:type="dxa" w:w="4241"/>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Synthetic, written by the team</w:t>
            </w:r>
          </w:p>
        </w:tc>
        <w:tc>
          <w:tcPr>
            <w:tcW w:type="dxa" w:w="2698"/>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Seeded demo and evidence run</w:t>
            </w:r>
          </w:p>
        </w:tc>
      </w:tr>
      <w:tr>
        <w:tc>
          <w:tcPr>
            <w:tcW w:type="dxa" w:w="2699"/>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Market prices</w:t>
            </w:r>
          </w:p>
        </w:tc>
        <w:tc>
          <w:tcPr>
            <w:tcW w:type="dxa" w:w="4241"/>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World Food Programme via HDX, CC BY-IGO (attributed in the drawer and notices file)</w:t>
            </w:r>
          </w:p>
        </w:tc>
        <w:tc>
          <w:tcPr>
            <w:tcW w:type="dxa" w:w="2698"/>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Price drawer</w:t>
            </w:r>
          </w:p>
        </w:tc>
      </w:tr>
      <w:tr>
        <w:tc>
          <w:tcPr>
            <w:tcW w:type="dxa" w:w="2699"/>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Financing catalog</w:t>
            </w:r>
          </w:p>
        </w:tc>
        <w:tc>
          <w:tcPr>
            <w:tcW w:type="dxa" w:w="4241"/>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Illustrative placeholders written by the team, every product marked unverified</w:t>
            </w:r>
          </w:p>
        </w:tc>
        <w:tc>
          <w:tcPr>
            <w:tcW w:type="dxa" w:w="2698"/>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Demo-mode matching only</w:t>
            </w:r>
          </w:p>
        </w:tc>
      </w:tr>
      <w:tr>
        <w:tc>
          <w:tcPr>
            <w:tcW w:type="dxa" w:w="2699"/>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Compliance rules (VAT, TIN, trade licence, KYC/AML)</w:t>
            </w:r>
          </w:p>
        </w:tc>
        <w:tc>
          <w:tcPr>
            <w:tcW w:type="dxa" w:w="4241"/>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Configurable rule file, every rule marked "verify with the authority"</w:t>
            </w:r>
          </w:p>
        </w:tc>
        <w:tc>
          <w:tcPr>
            <w:tcW w:type="dxa" w:w="2698"/>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Reminders, never stated as fact</w:t>
            </w:r>
          </w:p>
        </w:tc>
      </w:tr>
    </w:tbl>
    <w:p>
      <w:pPr>
        <w:pStyle w:val="ListParagraph"/>
        <w:numPr>
          <w:ilvl w:val="0"/>
          <w:numId w:val="2"/>
        </w:numPr>
        <w:spacing w:after="80" w:line="276"/>
      </w:pPr>
      <w:r>
        <w:rPr>
          <w:b/>
          <w:bCs/>
        </w:rPr>
        <w:t xml:space="preserve">Licences:</w:t>
      </w:r>
      <w:r>
        <w:t xml:space="preserve"> all libraries are permissively licensed (MIT, BSD, Apache-2.0, PSF); see THIRD_PARTY_NOTICES.md. No third-party front-end code is used.</w:t>
      </w:r>
    </w:p>
    <w:p>
      <w:pPr>
        <w:pStyle w:val="ListParagraph"/>
        <w:numPr>
          <w:ilvl w:val="0"/>
          <w:numId w:val="2"/>
        </w:numPr>
        <w:spacing w:after="80" w:line="276"/>
      </w:pPr>
      <w:r>
        <w:rPr>
          <w:b/>
          <w:bCs/>
        </w:rPr>
        <w:t xml:space="preserve">Owner control:</w:t>
      </w:r>
      <w:r>
        <w:t xml:space="preserve"> export of all business data, deletion with password and typed confirmation, and an audit trail that proves the deletion happened.</w:t>
      </w:r>
    </w:p>
    <w:p>
      <w:pPr>
        <w:pStyle w:val="ListParagraph"/>
        <w:numPr>
          <w:ilvl w:val="0"/>
          <w:numId w:val="2"/>
        </w:numPr>
        <w:spacing w:after="80" w:line="276"/>
      </w:pPr>
      <w:r>
        <w:rPr>
          <w:b/>
          <w:bCs/>
        </w:rPr>
        <w:t xml:space="preserve">Honest labels:</w:t>
      </w:r>
      <w:r>
        <w:t xml:space="preserve"> cash in the records is never shown as a live bank balance; forecasts are estimates with ranges; sandbox payments and simulated outboxes are labelled at the decision point.</w:t>
      </w:r>
    </w:p>
    <w:p>
      <w:pPr>
        <w:pStyle w:val="Heading1"/>
        <w:pageBreakBefore/>
      </w:pPr>
      <w:bookmarkStart w:name="_Toc35" w:id="35"/>
      <w:r>
        <w:t xml:space="preserve">8. Testing and evidence</w:t>
      </w:r>
      <w:bookmarkEnd w:id="3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4433"/>
        <w:gridCol w:w="2892"/>
      </w:tblGrid>
      <w:tr>
        <w:trPr>
          <w:tblHeader/>
        </w:trPr>
        <w:tc>
          <w:tcPr>
            <w:tcW w:type="dxa" w:w="2313"/>
            <w:tcBorders>
              <w:top w:val="single" w:color="D9D2CA" w:sz="4"/>
              <w:left w:val="single" w:color="D9D2CA" w:sz="4"/>
              <w:bottom w:val="single" w:color="D9D2CA" w:sz="4"/>
              <w:right w:val="single" w:color="D9D2CA" w:sz="4"/>
            </w:tcBorders>
            <w:shd w:fill="FBE9E0" w:color="auto" w:val="clear"/>
            <w:tcMar>
              <w:top w:type="dxa" w:w="60"/>
              <w:left w:type="dxa" w:w="100"/>
              <w:bottom w:type="dxa" w:w="60"/>
              <w:right w:type="dxa" w:w="100"/>
            </w:tcMar>
          </w:tcPr>
          <w:p>
            <w:pPr>
              <w:spacing w:after="0" w:line="264"/>
            </w:pPr>
            <w:r>
              <w:rPr>
                <w:b/>
                <w:bCs/>
              </w:rPr>
              <w:t xml:space="preserve">Check</w:t>
            </w:r>
          </w:p>
        </w:tc>
        <w:tc>
          <w:tcPr>
            <w:tcW w:type="dxa" w:w="4433"/>
            <w:tcBorders>
              <w:top w:val="single" w:color="D9D2CA" w:sz="4"/>
              <w:left w:val="single" w:color="D9D2CA" w:sz="4"/>
              <w:bottom w:val="single" w:color="D9D2CA" w:sz="4"/>
              <w:right w:val="single" w:color="D9D2CA" w:sz="4"/>
            </w:tcBorders>
            <w:shd w:fill="FBE9E0" w:color="auto" w:val="clear"/>
            <w:tcMar>
              <w:top w:type="dxa" w:w="60"/>
              <w:left w:type="dxa" w:w="100"/>
              <w:bottom w:type="dxa" w:w="60"/>
              <w:right w:type="dxa" w:w="100"/>
            </w:tcMar>
          </w:tcPr>
          <w:p>
            <w:pPr>
              <w:spacing w:after="0" w:line="264"/>
            </w:pPr>
            <w:r>
              <w:rPr>
                <w:b/>
                <w:bCs/>
              </w:rPr>
              <w:t xml:space="preserve">Result</w:t>
            </w:r>
          </w:p>
        </w:tc>
        <w:tc>
          <w:tcPr>
            <w:tcW w:type="dxa" w:w="2892"/>
            <w:tcBorders>
              <w:top w:val="single" w:color="D9D2CA" w:sz="4"/>
              <w:left w:val="single" w:color="D9D2CA" w:sz="4"/>
              <w:bottom w:val="single" w:color="D9D2CA" w:sz="4"/>
              <w:right w:val="single" w:color="D9D2CA" w:sz="4"/>
            </w:tcBorders>
            <w:shd w:fill="FBE9E0" w:color="auto" w:val="clear"/>
            <w:tcMar>
              <w:top w:type="dxa" w:w="60"/>
              <w:left w:type="dxa" w:w="100"/>
              <w:bottom w:type="dxa" w:w="60"/>
              <w:right w:type="dxa" w:w="100"/>
            </w:tcMar>
          </w:tcPr>
          <w:p>
            <w:pPr>
              <w:spacing w:after="0" w:line="264"/>
            </w:pPr>
            <w:r>
              <w:rPr>
                <w:b/>
                <w:bCs/>
              </w:rPr>
              <w:t xml:space="preserve">How to run</w:t>
            </w:r>
          </w:p>
        </w:tc>
      </w:tr>
      <w:tr>
        <w:tc>
          <w:tcPr>
            <w:tcW w:type="dxa" w:w="2313"/>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Python tests</w:t>
            </w:r>
          </w:p>
        </w:tc>
        <w:tc>
          <w:tcPr>
            <w:tcW w:type="dxa" w:w="4433"/>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443 tests: 442 pass, 1 skipped (needs a live model); 90% line coverage</w:t>
            </w:r>
          </w:p>
        </w:tc>
        <w:tc>
          <w:tcPr>
            <w:tcW w:type="dxa" w:w="2892"/>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python -m pytest --cov=sme_copilot</w:t>
            </w:r>
          </w:p>
        </w:tc>
      </w:tr>
      <w:tr>
        <w:tc>
          <w:tcPr>
            <w:tcW w:type="dxa" w:w="2313"/>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Interface tests</w:t>
            </w:r>
          </w:p>
        </w:tc>
        <w:tc>
          <w:tcPr>
            <w:tcW w:type="dxa" w:w="4433"/>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19/19 pass</w:t>
            </w:r>
          </w:p>
        </w:tc>
        <w:tc>
          <w:tcPr>
            <w:tcW w:type="dxa" w:w="2892"/>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node --test tests/ui/*.test.mjs</w:t>
            </w:r>
          </w:p>
        </w:tc>
      </w:tr>
      <w:tr>
        <w:tc>
          <w:tcPr>
            <w:tcW w:type="dxa" w:w="2313"/>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End-to-end evidence</w:t>
            </w:r>
          </w:p>
        </w:tc>
        <w:tc>
          <w:tcPr>
            <w:tcW w:type="dxa" w:w="4433"/>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35/35 steps pass; operation log exported</w:t>
            </w:r>
          </w:p>
        </w:tc>
        <w:tc>
          <w:tcPr>
            <w:tcW w:type="dxa" w:w="2892"/>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python -m sme_copilot.cli evidence</w:t>
            </w:r>
          </w:p>
        </w:tc>
      </w:tr>
      <w:tr>
        <w:tc>
          <w:tcPr>
            <w:tcW w:type="dxa" w:w="2313"/>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Price backtest</w:t>
            </w:r>
          </w:p>
        </w:tc>
        <w:tc>
          <w:tcPr>
            <w:tcW w:type="dxa" w:w="4433"/>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Ranges held the real price 79.4% (model) and 78.2% (statistical)</w:t>
            </w:r>
          </w:p>
        </w:tc>
        <w:tc>
          <w:tcPr>
            <w:tcW w:type="dxa" w:w="2892"/>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python scripts/backtest_market.py</w:t>
            </w:r>
          </w:p>
        </w:tc>
      </w:tr>
      <w:tr>
        <w:tc>
          <w:tcPr>
            <w:tcW w:type="dxa" w:w="2313"/>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Model benchmark (offline baseline)</w:t>
            </w:r>
          </w:p>
        </w:tc>
        <w:tc>
          <w:tcPr>
            <w:tcW w:type="dxa" w:w="4433"/>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48 scenarios: 100% tool-call success, 100% numeric accuracy, 0% invented numbers, 100% correct refusals, 96% Bangla/Banglish language match</w:t>
            </w:r>
          </w:p>
        </w:tc>
        <w:tc>
          <w:tcPr>
            <w:tcW w:type="dxa" w:w="2892"/>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python -m sme_copilot.cli bench</w:t>
            </w:r>
          </w:p>
        </w:tc>
      </w:tr>
    </w:tbl>
    <w:p>
      <w:pPr>
        <w:spacing w:after="140" w:line="288"/>
      </w:pPr>
      <w:r>
        <w:t xml:space="preserve">The evidence run uses a fresh database and the same HTTP API as the web app. It covers sign-in for three roles, importing six statements (1,009 rows, with a duplicate and an injection row flagged), entries in English and Bangla, analysis in three languages, forecasts and what-ifs, financing matching, the readiness PDF and checklist, reminders and letters, sandbox payments with every confirmation rule, role and limit denials, prompt-injection and fraud refusals (including Chinese), market prices, and the audit-chain check.</w:t>
      </w:r>
    </w:p>
    <w:p>
      <w:pPr>
        <w:pStyle w:val="Heading1"/>
        <w:pageBreakBefore/>
      </w:pPr>
      <w:bookmarkStart w:name="_Toc36" w:id="36"/>
      <w:r>
        <w:t xml:space="preserve">9. Installation and running</w:t>
      </w:r>
      <w:bookmarkEnd w:id="36"/>
    </w:p>
    <w:p>
      <w:pPr>
        <w:pStyle w:val="Heading2"/>
      </w:pPr>
      <w:bookmarkStart w:name="_Toc37" w:id="37"/>
      <w:r>
        <w:t xml:space="preserve">9.1 Quick start (offline, no API keys)</w:t>
      </w:r>
      <w:bookmarkEnd w:id="37"/>
    </w:p>
    <w:p>
      <w:pPr>
        <w:spacing w:after="140" w:line="288"/>
      </w:pPr>
      <w:r>
        <w:t xml:space="preserve">Requires Python 3.11 or newer.</w:t>
      </w:r>
    </w:p>
    <w:p>
      <w:pPr>
        <w:shd w:fill="F3EEE8" w:color="auto" w:val="clear"/>
        <w:spacing w:after="0"/>
        <w:ind w:left="200"/>
      </w:pPr>
      <w:r>
        <w:rPr>
          <w:rFonts w:ascii="Consolas" w:cs="Consolas" w:eastAsia="Consolas" w:hAnsi="Consolas"/>
          <w:sz w:val="19"/>
          <w:szCs w:val="19"/>
        </w:rPr>
        <w:t xml:space="preserve">python -m venv .venv</w:t>
      </w:r>
    </w:p>
    <w:p>
      <w:pPr>
        <w:shd w:fill="F3EEE8" w:color="auto" w:val="clear"/>
        <w:spacing w:after="0"/>
        <w:ind w:left="200"/>
      </w:pPr>
      <w:r>
        <w:rPr>
          <w:rFonts w:ascii="Consolas" w:cs="Consolas" w:eastAsia="Consolas" w:hAnsi="Consolas"/>
          <w:sz w:val="19"/>
          <w:szCs w:val="19"/>
        </w:rPr>
        <w:t xml:space="preserve">.venv/Scripts/pip install -r requirements-dev.txt</w:t>
      </w:r>
    </w:p>
    <w:p>
      <w:pPr>
        <w:shd w:fill="F3EEE8" w:color="auto" w:val="clear"/>
        <w:spacing w:after="160"/>
        <w:ind w:left="200"/>
      </w:pPr>
      <w:r>
        <w:rPr>
          <w:rFonts w:ascii="Consolas" w:cs="Consolas" w:eastAsia="Consolas" w:hAnsi="Consolas"/>
          <w:sz w:val="19"/>
          <w:szCs w:val="19"/>
        </w:rPr>
        <w:t xml:space="preserve">.venv/Scripts/python -m sme_copilot.cli demo        # reset + seed demo data + serve</w:t>
      </w:r>
    </w:p>
    <w:p>
      <w:pPr>
        <w:spacing w:after="140" w:line="288"/>
      </w:pPr>
      <w:r>
        <w:t xml:space="preserve">Open http://127.0.0.1:8000. With APP_ENV=demo the login page offers the demo accounts.</w:t>
      </w:r>
    </w:p>
    <w:p>
      <w:pPr>
        <w:pStyle w:val="Heading2"/>
      </w:pPr>
      <w:bookmarkStart w:name="_Toc38" w:id="38"/>
      <w:r>
        <w:t xml:space="preserve">9.2 Windows launchers</w:t>
      </w:r>
      <w:bookmarkEnd w:id="38"/>
    </w:p>
    <w:p>
      <w:pPr>
        <w:pStyle w:val="ListParagraph"/>
        <w:numPr>
          <w:ilvl w:val="0"/>
          <w:numId w:val="2"/>
        </w:numPr>
        <w:spacing w:after="80" w:line="276"/>
      </w:pPr>
      <w:r>
        <w:rPr>
          <w:b/>
          <w:bCs/>
        </w:rPr>
        <w:t xml:space="preserve">Start SME Copilot.bat</w:t>
      </w:r>
      <w:r>
        <w:t xml:space="preserve"> starts the website for this computer only and opens it.</w:t>
      </w:r>
    </w:p>
    <w:p>
      <w:pPr>
        <w:pStyle w:val="ListParagraph"/>
        <w:numPr>
          <w:ilvl w:val="0"/>
          <w:numId w:val="2"/>
        </w:numPr>
        <w:spacing w:after="80" w:line="276"/>
      </w:pPr>
      <w:r>
        <w:rPr>
          <w:b/>
          <w:bCs/>
        </w:rPr>
        <w:t xml:space="preserve">Start SME Copilot (Wi-Fi).bat</w:t>
      </w:r>
      <w:r>
        <w:t xml:space="preserve"> shares it with phones and computers on the same Wi-Fi and prints the address to open (Windows Firewall must allow the port).</w:t>
      </w:r>
    </w:p>
    <w:p>
      <w:pPr>
        <w:pStyle w:val="Heading2"/>
      </w:pPr>
      <w:bookmarkStart w:name="_Toc39" w:id="39"/>
      <w:r>
        <w:t xml:space="preserve">9.3 Docker</w:t>
      </w:r>
      <w:bookmarkEnd w:id="39"/>
    </w:p>
    <w:p>
      <w:pPr>
        <w:shd w:fill="F3EEE8" w:color="auto" w:val="clear"/>
        <w:spacing w:after="160"/>
        <w:ind w:left="200"/>
      </w:pPr>
      <w:r>
        <w:rPr>
          <w:rFonts w:ascii="Consolas" w:cs="Consolas" w:eastAsia="Consolas" w:hAnsi="Consolas"/>
          <w:sz w:val="19"/>
          <w:szCs w:val="19"/>
        </w:rPr>
        <w:t xml:space="preserve">docker compose up --build                     # demo on 127.0.0.1:8000, offline engine</w:t>
      </w:r>
    </w:p>
    <w:p>
      <w:pPr>
        <w:pStyle w:val="Heading2"/>
      </w:pPr>
      <w:bookmarkStart w:name="_Toc40" w:id="40"/>
      <w:r>
        <w:t xml:space="preserve">9.4 Price forecasting model (optional, once)</w:t>
      </w:r>
      <w:bookmarkEnd w:id="40"/>
    </w:p>
    <w:p>
      <w:pPr>
        <w:shd w:fill="F3EEE8" w:color="auto" w:val="clear"/>
        <w:spacing w:after="0"/>
        <w:ind w:left="200"/>
      </w:pPr>
      <w:r>
        <w:rPr>
          <w:rFonts w:ascii="Consolas" w:cs="Consolas" w:eastAsia="Consolas" w:hAnsi="Consolas"/>
          <w:sz w:val="19"/>
          <w:szCs w:val="19"/>
        </w:rPr>
        <w:t xml:space="preserve">.venv/Scripts/pip install -r requirements-forecast.txt</w:t>
      </w:r>
    </w:p>
    <w:p>
      <w:pPr>
        <w:shd w:fill="F3EEE8" w:color="auto" w:val="clear"/>
        <w:spacing w:after="160"/>
        <w:ind w:left="200"/>
      </w:pPr>
      <w:r>
        <w:rPr>
          <w:rFonts w:ascii="Consolas" w:cs="Consolas" w:eastAsia="Consolas" w:hAnsi="Consolas"/>
          <w:sz w:val="19"/>
          <w:szCs w:val="19"/>
        </w:rPr>
        <w:t xml:space="preserve">.venv/Scripts/python -m sme_copilot.cli market --setup</w:t>
      </w:r>
    </w:p>
    <w:p>
      <w:pPr>
        <w:spacing w:after="140" w:line="288"/>
      </w:pPr>
      <w:r>
        <w:t xml:space="preserve">This downloads the newest public prices and the Chronos-Bolt weights; afterwards everything runs offline. Without it the drawer uses the bundled prices and the statistical estimate.</w:t>
      </w:r>
    </w:p>
    <w:p>
      <w:pPr>
        <w:pStyle w:val="Heading2"/>
      </w:pPr>
      <w:bookmarkStart w:name="_Toc41" w:id="41"/>
      <w:r>
        <w:t xml:space="preserve">9.5 Key settings (.env)</w:t>
      </w:r>
      <w:bookmarkEnd w:id="4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6361"/>
      </w:tblGrid>
      <w:tr>
        <w:trPr>
          <w:tblHeader/>
        </w:trPr>
        <w:tc>
          <w:tcPr>
            <w:tcW w:type="dxa" w:w="3277"/>
            <w:tcBorders>
              <w:top w:val="single" w:color="D9D2CA" w:sz="4"/>
              <w:left w:val="single" w:color="D9D2CA" w:sz="4"/>
              <w:bottom w:val="single" w:color="D9D2CA" w:sz="4"/>
              <w:right w:val="single" w:color="D9D2CA" w:sz="4"/>
            </w:tcBorders>
            <w:shd w:fill="FBE9E0" w:color="auto" w:val="clear"/>
            <w:tcMar>
              <w:top w:type="dxa" w:w="60"/>
              <w:left w:type="dxa" w:w="100"/>
              <w:bottom w:type="dxa" w:w="60"/>
              <w:right w:type="dxa" w:w="100"/>
            </w:tcMar>
          </w:tcPr>
          <w:p>
            <w:pPr>
              <w:spacing w:after="0" w:line="264"/>
            </w:pPr>
            <w:r>
              <w:rPr>
                <w:b/>
                <w:bCs/>
              </w:rPr>
              <w:t xml:space="preserve">Setting</w:t>
            </w:r>
          </w:p>
        </w:tc>
        <w:tc>
          <w:tcPr>
            <w:tcW w:type="dxa" w:w="6361"/>
            <w:tcBorders>
              <w:top w:val="single" w:color="D9D2CA" w:sz="4"/>
              <w:left w:val="single" w:color="D9D2CA" w:sz="4"/>
              <w:bottom w:val="single" w:color="D9D2CA" w:sz="4"/>
              <w:right w:val="single" w:color="D9D2CA" w:sz="4"/>
            </w:tcBorders>
            <w:shd w:fill="FBE9E0" w:color="auto" w:val="clear"/>
            <w:tcMar>
              <w:top w:type="dxa" w:w="60"/>
              <w:left w:type="dxa" w:w="100"/>
              <w:bottom w:type="dxa" w:w="60"/>
              <w:right w:type="dxa" w:w="100"/>
            </w:tcMar>
          </w:tcPr>
          <w:p>
            <w:pPr>
              <w:spacing w:after="0" w:line="264"/>
            </w:pPr>
            <w:r>
              <w:rPr>
                <w:b/>
                <w:bCs/>
              </w:rPr>
              <w:t xml:space="preserve">Meaning</w:t>
            </w:r>
          </w:p>
        </w:tc>
      </w:tr>
      <w:tr>
        <w:tc>
          <w:tcPr>
            <w:tcW w:type="dxa" w:w="3277"/>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APP_ENV</w:t>
            </w:r>
          </w:p>
        </w:tc>
        <w:tc>
          <w:tcPr>
            <w:tcW w:type="dxa" w:w="6361"/>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dev, demo (shows demo logins; illustrative financing on) or production (requires an encryption key, hides demo logins and API docs)</w:t>
            </w:r>
          </w:p>
        </w:tc>
      </w:tr>
      <w:tr>
        <w:tc>
          <w:tcPr>
            <w:tcW w:type="dxa" w:w="3277"/>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FIELD_ENCRYPTION_KEY</w:t>
            </w:r>
          </w:p>
        </w:tc>
        <w:tc>
          <w:tcPr>
            <w:tcW w:type="dxa" w:w="6361"/>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Key for encrypting account numbers, phones, TIN and trade licence; required in production</w:t>
            </w:r>
          </w:p>
        </w:tc>
      </w:tr>
      <w:tr>
        <w:tc>
          <w:tcPr>
            <w:tcW w:type="dxa" w:w="3277"/>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LOCAL_ONLY_MODE</w:t>
            </w:r>
          </w:p>
        </w:tc>
        <w:tc>
          <w:tcPr>
            <w:tcW w:type="dxa" w:w="6361"/>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true = no external model and no automatic downloads; nothing leaves the machine</w:t>
            </w:r>
          </w:p>
        </w:tc>
      </w:tr>
      <w:tr>
        <w:tc>
          <w:tcPr>
            <w:tcW w:type="dxa" w:w="3277"/>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LLM_PROFILE / SHARED_LLM_*</w:t>
            </w:r>
          </w:p>
        </w:tc>
        <w:tc>
          <w:tcPr>
            <w:tcW w:type="dxa" w:w="6361"/>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Which model answers (shared local Gemma by default; the offline engine always works)</w:t>
            </w:r>
          </w:p>
        </w:tc>
      </w:tr>
      <w:tr>
        <w:tc>
          <w:tcPr>
            <w:tcW w:type="dxa" w:w="3277"/>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ALLOW_SIGNUP, COOKIE_SECURE</w:t>
            </w:r>
          </w:p>
        </w:tc>
        <w:tc>
          <w:tcPr>
            <w:tcW w:type="dxa" w:w="6361"/>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Turn off new accounts for a closed pilot; force secure cookies behind HTTPS</w:t>
            </w:r>
          </w:p>
        </w:tc>
      </w:tr>
      <w:tr>
        <w:tc>
          <w:tcPr>
            <w:tcW w:type="dxa" w:w="3277"/>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MARKET_PRICES_ENABLED, MARKET_REFRESH, MARKET_FORECAST_MODEL</w:t>
            </w:r>
          </w:p>
        </w:tc>
        <w:tc>
          <w:tcPr>
            <w:tcW w:type="dxa" w:w="6361"/>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Price drawer on/off, weekly refresh, forecasting model (empty = statistical)</w:t>
            </w:r>
          </w:p>
        </w:tc>
      </w:tr>
    </w:tbl>
    <w:p>
      <w:pPr>
        <w:pStyle w:val="Heading2"/>
      </w:pPr>
      <w:bookmarkStart w:name="_Toc42" w:id="42"/>
      <w:r>
        <w:t xml:space="preserve">9.6 Before real owners use it</w:t>
      </w:r>
      <w:bookmarkEnd w:id="42"/>
    </w:p>
    <w:p>
      <w:pPr>
        <w:pStyle w:val="ListParagraph"/>
        <w:numPr>
          <w:ilvl w:val="0"/>
          <w:numId w:val="2"/>
        </w:numPr>
        <w:spacing w:after="80" w:line="276"/>
      </w:pPr>
      <w:r>
        <w:t xml:space="preserve">Never run real data with APP_ENV=demo; use production with a real FIELD_ENCRYPTION_KEY kept outside the data folder.</w:t>
      </w:r>
    </w:p>
    <w:p>
      <w:pPr>
        <w:pStyle w:val="ListParagraph"/>
        <w:numPr>
          <w:ilvl w:val="0"/>
          <w:numId w:val="2"/>
        </w:numPr>
        <w:spacing w:after="80" w:line="276"/>
      </w:pPr>
      <w:r>
        <w:t xml:space="preserve">Put the website behind HTTPS with COOKIE_SECURE=true before sharing it beyond this computer, and set ALLOW_SIGNUP=false for a closed pilot.</w:t>
      </w:r>
    </w:p>
    <w:p>
      <w:pPr>
        <w:pStyle w:val="Heading1"/>
        <w:pageBreakBefore/>
      </w:pPr>
      <w:bookmarkStart w:name="_Toc43" w:id="43"/>
      <w:r>
        <w:t xml:space="preserve">10. Demo guide</w:t>
      </w:r>
      <w:bookmarkEnd w:id="4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1542"/>
        <w:gridCol w:w="2699"/>
        <w:gridCol w:w="3855"/>
      </w:tblGrid>
      <w:tr>
        <w:trPr>
          <w:tblHeader/>
        </w:trPr>
        <w:tc>
          <w:tcPr>
            <w:tcW w:type="dxa" w:w="1542"/>
            <w:tcBorders>
              <w:top w:val="single" w:color="D9D2CA" w:sz="4"/>
              <w:left w:val="single" w:color="D9D2CA" w:sz="4"/>
              <w:bottom w:val="single" w:color="D9D2CA" w:sz="4"/>
              <w:right w:val="single" w:color="D9D2CA" w:sz="4"/>
            </w:tcBorders>
            <w:shd w:fill="FBE9E0" w:color="auto" w:val="clear"/>
            <w:tcMar>
              <w:top w:type="dxa" w:w="60"/>
              <w:left w:type="dxa" w:w="100"/>
              <w:bottom w:type="dxa" w:w="60"/>
              <w:right w:type="dxa" w:w="100"/>
            </w:tcMar>
          </w:tcPr>
          <w:p>
            <w:pPr>
              <w:spacing w:after="0" w:line="264"/>
            </w:pPr>
            <w:r>
              <w:rPr>
                <w:b/>
                <w:bCs/>
              </w:rPr>
              <w:t xml:space="preserve">Account</w:t>
            </w:r>
          </w:p>
        </w:tc>
        <w:tc>
          <w:tcPr>
            <w:tcW w:type="dxa" w:w="1542"/>
            <w:tcBorders>
              <w:top w:val="single" w:color="D9D2CA" w:sz="4"/>
              <w:left w:val="single" w:color="D9D2CA" w:sz="4"/>
              <w:bottom w:val="single" w:color="D9D2CA" w:sz="4"/>
              <w:right w:val="single" w:color="D9D2CA" w:sz="4"/>
            </w:tcBorders>
            <w:shd w:fill="FBE9E0" w:color="auto" w:val="clear"/>
            <w:tcMar>
              <w:top w:type="dxa" w:w="60"/>
              <w:left w:type="dxa" w:w="100"/>
              <w:bottom w:type="dxa" w:w="60"/>
              <w:right w:type="dxa" w:w="100"/>
            </w:tcMar>
          </w:tcPr>
          <w:p>
            <w:pPr>
              <w:spacing w:after="0" w:line="264"/>
            </w:pPr>
            <w:r>
              <w:rPr>
                <w:b/>
                <w:bCs/>
              </w:rPr>
              <w:t xml:space="preserve">Role</w:t>
            </w:r>
          </w:p>
        </w:tc>
        <w:tc>
          <w:tcPr>
            <w:tcW w:type="dxa" w:w="2699"/>
            <w:tcBorders>
              <w:top w:val="single" w:color="D9D2CA" w:sz="4"/>
              <w:left w:val="single" w:color="D9D2CA" w:sz="4"/>
              <w:bottom w:val="single" w:color="D9D2CA" w:sz="4"/>
              <w:right w:val="single" w:color="D9D2CA" w:sz="4"/>
            </w:tcBorders>
            <w:shd w:fill="FBE9E0" w:color="auto" w:val="clear"/>
            <w:tcMar>
              <w:top w:type="dxa" w:w="60"/>
              <w:left w:type="dxa" w:w="100"/>
              <w:bottom w:type="dxa" w:w="60"/>
              <w:right w:type="dxa" w:w="100"/>
            </w:tcMar>
          </w:tcPr>
          <w:p>
            <w:pPr>
              <w:spacing w:after="0" w:line="264"/>
            </w:pPr>
            <w:r>
              <w:rPr>
                <w:b/>
                <w:bCs/>
              </w:rPr>
              <w:t xml:space="preserve">Password (demo only)</w:t>
            </w:r>
          </w:p>
        </w:tc>
        <w:tc>
          <w:tcPr>
            <w:tcW w:type="dxa" w:w="3855"/>
            <w:tcBorders>
              <w:top w:val="single" w:color="D9D2CA" w:sz="4"/>
              <w:left w:val="single" w:color="D9D2CA" w:sz="4"/>
              <w:bottom w:val="single" w:color="D9D2CA" w:sz="4"/>
              <w:right w:val="single" w:color="D9D2CA" w:sz="4"/>
            </w:tcBorders>
            <w:shd w:fill="FBE9E0" w:color="auto" w:val="clear"/>
            <w:tcMar>
              <w:top w:type="dxa" w:w="60"/>
              <w:left w:type="dxa" w:w="100"/>
              <w:bottom w:type="dxa" w:w="60"/>
              <w:right w:type="dxa" w:w="100"/>
            </w:tcMar>
          </w:tcPr>
          <w:p>
            <w:pPr>
              <w:spacing w:after="0" w:line="264"/>
            </w:pPr>
            <w:r>
              <w:rPr>
                <w:b/>
                <w:bCs/>
              </w:rPr>
              <w:t xml:space="preserve">Can do</w:t>
            </w:r>
          </w:p>
        </w:tc>
      </w:tr>
      <w:tr>
        <w:tc>
          <w:tcPr>
            <w:tcW w:type="dxa" w:w="1542"/>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nusrat</w:t>
            </w:r>
          </w:p>
        </w:tc>
        <w:tc>
          <w:tcPr>
            <w:tcW w:type="dxa" w:w="1542"/>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Owner</w:t>
            </w:r>
          </w:p>
        </w:tc>
        <w:tc>
          <w:tcPr>
            <w:tcW w:type="dxa" w:w="2699"/>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owner-demo-2026</w:t>
            </w:r>
          </w:p>
        </w:tc>
        <w:tc>
          <w:tcPr>
            <w:tcW w:type="dxa" w:w="3855"/>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Everything, including confirming sandbox payments</w:t>
            </w:r>
          </w:p>
        </w:tc>
      </w:tr>
      <w:tr>
        <w:tc>
          <w:tcPr>
            <w:tcW w:type="dxa" w:w="1542"/>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rafiq</w:t>
            </w:r>
          </w:p>
        </w:tc>
        <w:tc>
          <w:tcPr>
            <w:tcW w:type="dxa" w:w="1542"/>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Accountant</w:t>
            </w:r>
          </w:p>
        </w:tc>
        <w:tc>
          <w:tcPr>
            <w:tcW w:type="dxa" w:w="2699"/>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accountant-demo-2026</w:t>
            </w:r>
          </w:p>
        </w:tc>
        <w:tc>
          <w:tcPr>
            <w:tcW w:type="dxa" w:w="3855"/>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Entries, drafts, reminders, reports; never money</w:t>
            </w:r>
          </w:p>
        </w:tc>
      </w:tr>
      <w:tr>
        <w:tc>
          <w:tcPr>
            <w:tcW w:type="dxa" w:w="1542"/>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mitu</w:t>
            </w:r>
          </w:p>
        </w:tc>
        <w:tc>
          <w:tcPr>
            <w:tcW w:type="dxa" w:w="1542"/>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Viewer</w:t>
            </w:r>
          </w:p>
        </w:tc>
        <w:tc>
          <w:tcPr>
            <w:tcW w:type="dxa" w:w="2699"/>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viewer-demo-2026</w:t>
            </w:r>
          </w:p>
        </w:tc>
        <w:tc>
          <w:tcPr>
            <w:tcW w:type="dxa" w:w="3855"/>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Read-only</w:t>
            </w:r>
          </w:p>
        </w:tc>
      </w:tr>
    </w:tbl>
    <w:p>
      <w:pPr>
        <w:spacing w:after="140" w:line="288"/>
      </w:pPr>
      <w:r>
        <w:t xml:space="preserve">The full 5-minute script with timings is in docs/DEMO_SCRIPT.md. In order:</w:t>
      </w:r>
    </w:p>
    <w:p>
      <w:pPr>
        <w:pStyle w:val="ListParagraph"/>
        <w:numPr>
          <w:ilvl w:val="0"/>
          <w:numId w:val="6"/>
        </w:numPr>
        <w:spacing w:after="80" w:line="276"/>
      </w:pPr>
      <w:r>
        <w:t xml:space="preserve">Records already imported from a notebook, bank and bKash (a duplicate and an injection row flagged).</w:t>
      </w:r>
    </w:p>
    <w:p>
      <w:pPr>
        <w:pStyle w:val="ListParagraph"/>
        <w:numPr>
          <w:ilvl w:val="0"/>
          <w:numId w:val="6"/>
        </w:numPr>
        <w:spacing w:after="80" w:line="276"/>
      </w:pPr>
      <w:r>
        <w:t xml:space="preserve">The forecast shows a cash dip; "How is this calculated?" shows the formula and rows.</w:t>
      </w:r>
    </w:p>
    <w:p>
      <w:pPr>
        <w:pStyle w:val="ListParagraph"/>
        <w:numPr>
          <w:ilvl w:val="0"/>
          <w:numId w:val="6"/>
        </w:numPr>
        <w:spacing w:after="80" w:line="276"/>
      </w:pPr>
      <w:r>
        <w:t xml:space="preserve">What-if: the biggest customer pays 20 days late; then a ৳5 lakh loan at 12% for 24 months.</w:t>
      </w:r>
    </w:p>
    <w:p>
      <w:pPr>
        <w:pStyle w:val="ListParagraph"/>
        <w:numPr>
          <w:ilvl w:val="0"/>
          <w:numId w:val="6"/>
        </w:numPr>
        <w:spacing w:after="80" w:line="276"/>
      </w:pPr>
      <w:r>
        <w:t xml:space="preserve">Questions in Bangla and Banglish, answered in kind.</w:t>
      </w:r>
    </w:p>
    <w:p>
      <w:pPr>
        <w:pStyle w:val="ListParagraph"/>
        <w:numPr>
          <w:ilvl w:val="0"/>
          <w:numId w:val="6"/>
        </w:numPr>
        <w:spacing w:after="80" w:line="276"/>
      </w:pPr>
      <w:r>
        <w:t xml:space="preserve">"Which loans fit me for 5 lakh to buy winter stock?", the readiness score and the PDF.</w:t>
      </w:r>
    </w:p>
    <w:p>
      <w:pPr>
        <w:pStyle w:val="ListParagraph"/>
        <w:numPr>
          <w:ilvl w:val="0"/>
          <w:numId w:val="6"/>
        </w:numPr>
        <w:spacing w:after="80" w:line="276"/>
      </w:pPr>
      <w:r>
        <w:t xml:space="preserve">A reminder and a Bangla follow-up letter; a ৳25,000 transfer that refuses a mistyped amount and runs after the owner retypes it.</w:t>
      </w:r>
    </w:p>
    <w:p>
      <w:pPr>
        <w:pStyle w:val="ListParagraph"/>
        <w:numPr>
          <w:ilvl w:val="0"/>
          <w:numId w:val="6"/>
        </w:numPr>
        <w:spacing w:after="80" w:line="276"/>
      </w:pPr>
      <w:r>
        <w:t xml:space="preserve">A prompt-injection attempt and a fraud request, both refused; the audit chain verified.</w:t>
      </w:r>
    </w:p>
    <w:p>
      <w:pPr>
        <w:pStyle w:val="ListParagraph"/>
        <w:numPr>
          <w:ilvl w:val="0"/>
          <w:numId w:val="6"/>
        </w:numPr>
        <w:spacing w:after="80" w:line="276"/>
      </w:pPr>
      <w:r>
        <w:t xml:space="preserve">Guided Home: the Prices drawer, then the whole app switched to 中文.</w:t>
      </w:r>
    </w:p>
    <w:p>
      <w:pPr>
        <w:pStyle w:val="Heading1"/>
        <w:pageBreakBefore/>
      </w:pPr>
      <w:bookmarkStart w:name="_Toc44" w:id="44"/>
      <w:r>
        <w:t xml:space="preserve">11. Submission checklist</w:t>
      </w:r>
      <w:bookmarkEnd w:id="44"/>
    </w:p>
    <w:p>
      <w:pPr>
        <w:spacing w:after="140" w:line="288"/>
      </w:pPr>
      <w:r>
        <w:t xml:space="preserve">Deadline for registration and submission: </w:t>
      </w:r>
      <w:r>
        <w:rPr>
          <w:b/>
          <w:bCs/>
        </w:rPr>
        <w:t xml:space="preserve">20 October 2026, 23:59 Beijing time</w:t>
      </w:r>
      <w:r>
        <w:t xml:space="preserve"> (15:59 UTC, 21:59 Bangladesh time). Submissions can be updated until then; the latest version counts.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3470"/>
        <w:gridCol w:w="2698"/>
      </w:tblGrid>
      <w:tr>
        <w:trPr>
          <w:tblHeader/>
        </w:trPr>
        <w:tc>
          <w:tcPr>
            <w:tcW w:type="dxa" w:w="3470"/>
            <w:tcBorders>
              <w:top w:val="single" w:color="D9D2CA" w:sz="4"/>
              <w:left w:val="single" w:color="D9D2CA" w:sz="4"/>
              <w:bottom w:val="single" w:color="D9D2CA" w:sz="4"/>
              <w:right w:val="single" w:color="D9D2CA" w:sz="4"/>
            </w:tcBorders>
            <w:shd w:fill="FBE9E0" w:color="auto" w:val="clear"/>
            <w:tcMar>
              <w:top w:type="dxa" w:w="60"/>
              <w:left w:type="dxa" w:w="100"/>
              <w:bottom w:type="dxa" w:w="60"/>
              <w:right w:type="dxa" w:w="100"/>
            </w:tcMar>
          </w:tcPr>
          <w:p>
            <w:pPr>
              <w:spacing w:after="0" w:line="264"/>
            </w:pPr>
            <w:r>
              <w:rPr>
                <w:b/>
                <w:bCs/>
              </w:rPr>
              <w:t xml:space="preserve">Required item</w:t>
            </w:r>
          </w:p>
        </w:tc>
        <w:tc>
          <w:tcPr>
            <w:tcW w:type="dxa" w:w="3470"/>
            <w:tcBorders>
              <w:top w:val="single" w:color="D9D2CA" w:sz="4"/>
              <w:left w:val="single" w:color="D9D2CA" w:sz="4"/>
              <w:bottom w:val="single" w:color="D9D2CA" w:sz="4"/>
              <w:right w:val="single" w:color="D9D2CA" w:sz="4"/>
            </w:tcBorders>
            <w:shd w:fill="FBE9E0" w:color="auto" w:val="clear"/>
            <w:tcMar>
              <w:top w:type="dxa" w:w="60"/>
              <w:left w:type="dxa" w:w="100"/>
              <w:bottom w:type="dxa" w:w="60"/>
              <w:right w:type="dxa" w:w="100"/>
            </w:tcMar>
          </w:tcPr>
          <w:p>
            <w:pPr>
              <w:spacing w:after="0" w:line="264"/>
            </w:pPr>
            <w:r>
              <w:rPr>
                <w:b/>
                <w:bCs/>
              </w:rPr>
              <w:t xml:space="preserve">Where it is</w:t>
            </w:r>
          </w:p>
        </w:tc>
        <w:tc>
          <w:tcPr>
            <w:tcW w:type="dxa" w:w="2698"/>
            <w:tcBorders>
              <w:top w:val="single" w:color="D9D2CA" w:sz="4"/>
              <w:left w:val="single" w:color="D9D2CA" w:sz="4"/>
              <w:bottom w:val="single" w:color="D9D2CA" w:sz="4"/>
              <w:right w:val="single" w:color="D9D2CA" w:sz="4"/>
            </w:tcBorders>
            <w:shd w:fill="FBE9E0" w:color="auto" w:val="clear"/>
            <w:tcMar>
              <w:top w:type="dxa" w:w="60"/>
              <w:left w:type="dxa" w:w="100"/>
              <w:bottom w:type="dxa" w:w="60"/>
              <w:right w:type="dxa" w:w="100"/>
            </w:tcMar>
          </w:tcPr>
          <w:p>
            <w:pPr>
              <w:spacing w:after="0" w:line="264"/>
            </w:pPr>
            <w:r>
              <w:rPr>
                <w:b/>
                <w:bCs/>
              </w:rPr>
              <w:t xml:space="preserve">Status / your action</w:t>
            </w:r>
          </w:p>
        </w:tc>
      </w:tr>
      <w:tr>
        <w:tc>
          <w:tcPr>
            <w:tcW w:type="dxa" w:w="3470"/>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01 Technical documentation (architecture, core algorithm, security design)</w:t>
            </w:r>
          </w:p>
        </w:tc>
        <w:tc>
          <w:tcPr>
            <w:tcW w:type="dxa" w:w="3470"/>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docs/TECHNICAL_DOCUMENTATION.md, or this document</w:t>
            </w:r>
          </w:p>
        </w:tc>
        <w:tc>
          <w:tcPr>
            <w:tcW w:type="dxa" w:w="2698"/>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Ready</w:t>
            </w:r>
          </w:p>
        </w:tc>
      </w:tr>
      <w:tr>
        <w:tc>
          <w:tcPr>
            <w:tcW w:type="dxa" w:w="3470"/>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02 Presentation deck, ≤ 10 minutes</w:t>
            </w:r>
          </w:p>
        </w:tc>
        <w:tc>
          <w:tcPr>
            <w:tcW w:type="dxa" w:w="3470"/>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12-slide deck with speaker notes (about 9:40)</w:t>
            </w:r>
          </w:p>
        </w:tc>
        <w:tc>
          <w:tcPr>
            <w:tcW w:type="dxa" w:w="2698"/>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Fill in [Team name]; download as PPTX or PDF</w:t>
            </w:r>
          </w:p>
        </w:tc>
      </w:tr>
      <w:tr>
        <w:tc>
          <w:tcPr>
            <w:tcW w:type="dxa" w:w="3470"/>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03 Demo video, ≤ 5 minutes (optional)</w:t>
            </w:r>
          </w:p>
        </w:tc>
        <w:tc>
          <w:tcPr>
            <w:tcW w:type="dxa" w:w="3470"/>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docs/DEMO_SCRIPT.md</w:t>
            </w:r>
          </w:p>
        </w:tc>
        <w:tc>
          <w:tcPr>
            <w:tcW w:type="dxa" w:w="2698"/>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Record it following the script</w:t>
            </w:r>
          </w:p>
        </w:tc>
      </w:tr>
      <w:tr>
        <w:tc>
          <w:tcPr>
            <w:tcW w:type="dxa" w:w="3470"/>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04 Source code with README, GitHub link, deployment instructions and test cases</w:t>
            </w:r>
          </w:p>
        </w:tc>
        <w:tc>
          <w:tcPr>
            <w:tcW w:type="dxa" w:w="3470"/>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https://github.com/SazidFaruk-web/sme-finance-copilot (README, tests/)</w:t>
            </w:r>
          </w:p>
        </w:tc>
        <w:tc>
          <w:tcPr>
            <w:tcW w:type="dxa" w:w="2698"/>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Ready</w:t>
            </w:r>
          </w:p>
        </w:tc>
      </w:tr>
      <w:tr>
        <w:tc>
          <w:tcPr>
            <w:tcW w:type="dxa" w:w="3470"/>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05 Security self-assessment (permission tiers, known risks)</w:t>
            </w:r>
          </w:p>
        </w:tc>
        <w:tc>
          <w:tcPr>
            <w:tcW w:type="dxa" w:w="3470"/>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docs/SECURITY_ASSESSMENT.md</w:t>
            </w:r>
          </w:p>
        </w:tc>
        <w:tc>
          <w:tcPr>
            <w:tcW w:type="dxa" w:w="2698"/>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Ready</w:t>
            </w:r>
          </w:p>
        </w:tc>
      </w:tr>
      <w:tr>
        <w:tc>
          <w:tcPr>
            <w:tcW w:type="dxa" w:w="3470"/>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06 Execution evidence (sandbox operation logs)</w:t>
            </w:r>
          </w:p>
        </w:tc>
        <w:tc>
          <w:tcPr>
            <w:tcW w:type="dxa" w:w="3470"/>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docs/EXECUTION_EVIDENCE.md and docs/evidence/</w:t>
            </w:r>
          </w:p>
        </w:tc>
        <w:tc>
          <w:tcPr>
            <w:tcW w:type="dxa" w:w="2698"/>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Ready (35/35 steps)</w:t>
            </w:r>
          </w:p>
        </w:tc>
      </w:tr>
    </w:tbl>
    <w:p>
      <w:pPr>
        <w:pStyle w:val="ListParagraph"/>
        <w:numPr>
          <w:ilvl w:val="0"/>
          <w:numId w:val="2"/>
        </w:numPr>
        <w:spacing w:after="80" w:line="276"/>
      </w:pPr>
      <w:r>
        <w:rPr>
          <w:b/>
          <w:bCs/>
        </w:rPr>
        <w:t xml:space="preserve">Register</w:t>
      </w:r>
      <w:r>
        <w:t xml:space="preserve"> the team on fintechathon.g-ican.com before the deadline (2–5 students at overseas universities; at least 60% non-Chinese nationals).</w:t>
      </w:r>
    </w:p>
    <w:p>
      <w:pPr>
        <w:pStyle w:val="ListParagraph"/>
        <w:numPr>
          <w:ilvl w:val="0"/>
          <w:numId w:val="2"/>
        </w:numPr>
        <w:spacing w:after="80" w:line="276"/>
      </w:pPr>
      <w:r>
        <w:t xml:space="preserve">Everything is submitted and presented in </w:t>
      </w:r>
      <w:r>
        <w:rPr>
          <w:b/>
          <w:bCs/>
        </w:rPr>
        <w:t xml:space="preserve">English</w:t>
      </w:r>
      <w:r>
        <w:t xml:space="preserve">.</w:t>
      </w:r>
    </w:p>
    <w:p>
      <w:pPr>
        <w:pStyle w:val="ListParagraph"/>
        <w:numPr>
          <w:ilvl w:val="0"/>
          <w:numId w:val="2"/>
        </w:numPr>
        <w:spacing w:after="80" w:line="276"/>
      </w:pPr>
      <w:r>
        <w:t xml:space="preserve">At least one member must attend the Grand Final in Shenzhen (21–23 November) if the team is selected.</w:t>
      </w:r>
    </w:p>
    <w:p>
      <w:pPr>
        <w:pStyle w:val="Heading1"/>
        <w:pageBreakBefore/>
      </w:pPr>
      <w:bookmarkStart w:name="_Toc45" w:id="45"/>
      <w:r>
        <w:t xml:space="preserve">12. Known limitations and roadmap</w:t>
      </w:r>
      <w:bookmarkEnd w:id="45"/>
    </w:p>
    <w:p>
      <w:pPr>
        <w:pStyle w:val="ListParagraph"/>
        <w:numPr>
          <w:ilvl w:val="0"/>
          <w:numId w:val="2"/>
        </w:numPr>
        <w:spacing w:after="80" w:line="276"/>
      </w:pPr>
      <w:r>
        <w:t xml:space="preserve">Financing catalog terms are illustrative until verified with partner lenders; the pilot uses real quotes instead.</w:t>
      </w:r>
    </w:p>
    <w:p>
      <w:pPr>
        <w:pStyle w:val="ListParagraph"/>
        <w:numPr>
          <w:ilvl w:val="0"/>
          <w:numId w:val="2"/>
        </w:numPr>
        <w:spacing w:after="80" w:line="276"/>
      </w:pPr>
      <w:r>
        <w:t xml:space="preserve">Public price data trails today by one to two months, and point forecasts do not beat "no change"; the drawer shows ranges and the month of each price.</w:t>
      </w:r>
    </w:p>
    <w:p>
      <w:pPr>
        <w:pStyle w:val="ListParagraph"/>
        <w:numPr>
          <w:ilvl w:val="0"/>
          <w:numId w:val="2"/>
        </w:numPr>
        <w:spacing w:after="80" w:line="276"/>
      </w:pPr>
      <w:r>
        <w:t xml:space="preserve">SMS reminders need commercial provider onboarding, opt-in and number verification; in-app reminders always work.</w:t>
      </w:r>
    </w:p>
    <w:p>
      <w:pPr>
        <w:pStyle w:val="ListParagraph"/>
        <w:numPr>
          <w:ilvl w:val="0"/>
          <w:numId w:val="2"/>
        </w:numPr>
        <w:spacing w:after="80" w:line="276"/>
      </w:pPr>
      <w:r>
        <w:t xml:space="preserve">The offline engine answers Chinese questions in English; a language model answers in Chinese.</w:t>
      </w:r>
    </w:p>
    <w:p>
      <w:pPr>
        <w:pStyle w:val="ListParagraph"/>
        <w:numPr>
          <w:ilvl w:val="0"/>
          <w:numId w:val="2"/>
        </w:numPr>
        <w:spacing w:after="80" w:line="276"/>
      </w:pPr>
      <w:r>
        <w:t xml:space="preserve">No MFA yet; add it, with payee verification and an external audit-hash anchor, before any real payment rail.</w:t>
      </w:r>
    </w:p>
    <w:p>
      <w:pPr>
        <w:pStyle w:val="ListParagraph"/>
        <w:numPr>
          <w:ilvl w:val="0"/>
          <w:numId w:val="2"/>
        </w:numPr>
        <w:spacing w:after="80" w:line="276"/>
      </w:pPr>
      <w:r>
        <w:t xml:space="preserve">The real-owner pilot in Dhaka South has not been run yet: six guided tasks are ready for it.</w:t>
      </w:r>
    </w:p>
    <w:p>
      <w:pPr>
        <w:pStyle w:val="Heading1"/>
        <w:pageBreakBefore/>
      </w:pPr>
      <w:bookmarkStart w:name="_Toc46" w:id="46"/>
      <w:r>
        <w:t xml:space="preserve">Appendix A. Glossary</w:t>
      </w:r>
      <w:bookmarkEnd w:id="4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tcBorders>
              <w:top w:val="single" w:color="D9D2CA" w:sz="4"/>
              <w:left w:val="single" w:color="D9D2CA" w:sz="4"/>
              <w:bottom w:val="single" w:color="D9D2CA" w:sz="4"/>
              <w:right w:val="single" w:color="D9D2CA" w:sz="4"/>
            </w:tcBorders>
            <w:shd w:fill="FBE9E0" w:color="auto" w:val="clear"/>
            <w:tcMar>
              <w:top w:type="dxa" w:w="60"/>
              <w:left w:type="dxa" w:w="100"/>
              <w:bottom w:type="dxa" w:w="60"/>
              <w:right w:type="dxa" w:w="100"/>
            </w:tcMar>
          </w:tcPr>
          <w:p>
            <w:pPr>
              <w:spacing w:after="0" w:line="264"/>
            </w:pPr>
            <w:r>
              <w:rPr>
                <w:b/>
                <w:bCs/>
              </w:rPr>
              <w:t xml:space="preserve">Term</w:t>
            </w:r>
          </w:p>
        </w:tc>
        <w:tc>
          <w:tcPr>
            <w:tcW w:type="dxa" w:w="7132"/>
            <w:tcBorders>
              <w:top w:val="single" w:color="D9D2CA" w:sz="4"/>
              <w:left w:val="single" w:color="D9D2CA" w:sz="4"/>
              <w:bottom w:val="single" w:color="D9D2CA" w:sz="4"/>
              <w:right w:val="single" w:color="D9D2CA" w:sz="4"/>
            </w:tcBorders>
            <w:shd w:fill="FBE9E0" w:color="auto" w:val="clear"/>
            <w:tcMar>
              <w:top w:type="dxa" w:w="60"/>
              <w:left w:type="dxa" w:w="100"/>
              <w:bottom w:type="dxa" w:w="60"/>
              <w:right w:type="dxa" w:w="100"/>
            </w:tcMar>
          </w:tcPr>
          <w:p>
            <w:pPr>
              <w:spacing w:after="0" w:line="264"/>
            </w:pPr>
            <w:r>
              <w:rPr>
                <w:b/>
                <w:bCs/>
              </w:rPr>
              <w:t xml:space="preserve">Meaning</w:t>
            </w:r>
          </w:p>
        </w:tc>
      </w:tr>
      <w:tr>
        <w:tc>
          <w:tcPr>
            <w:tcW w:type="dxa" w:w="2506"/>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Baki khata</w:t>
            </w:r>
          </w:p>
        </w:tc>
        <w:tc>
          <w:tcPr>
            <w:tcW w:type="dxa" w:w="7132"/>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The book of what customers owe the shop (and what the shop owes suppliers)</w:t>
            </w:r>
          </w:p>
        </w:tc>
      </w:tr>
      <w:tr>
        <w:tc>
          <w:tcPr>
            <w:tcW w:type="dxa" w:w="2506"/>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bKash, Nagad, Rocket</w:t>
            </w:r>
          </w:p>
        </w:tc>
        <w:tc>
          <w:tcPr>
            <w:tcW w:type="dxa" w:w="7132"/>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Mobile financial services widely used in Bangladesh</w:t>
            </w:r>
          </w:p>
        </w:tc>
      </w:tr>
      <w:tr>
        <w:tc>
          <w:tcPr>
            <w:tcW w:type="dxa" w:w="2506"/>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DSCR</w:t>
            </w:r>
          </w:p>
        </w:tc>
        <w:tc>
          <w:tcPr>
            <w:tcW w:type="dxa" w:w="7132"/>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Debt service coverage ratio: monthly operating cash flow divided by monthly loan payments</w:t>
            </w:r>
          </w:p>
        </w:tc>
      </w:tr>
      <w:tr>
        <w:tc>
          <w:tcPr>
            <w:tcW w:type="dxa" w:w="2506"/>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EMI</w:t>
            </w:r>
          </w:p>
        </w:tc>
        <w:tc>
          <w:tcPr>
            <w:tcW w:type="dxa" w:w="7132"/>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Equated monthly instalment: the fixed monthly loan payment</w:t>
            </w:r>
          </w:p>
        </w:tc>
      </w:tr>
      <w:tr>
        <w:tc>
          <w:tcPr>
            <w:tcW w:type="dxa" w:w="2506"/>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Effective APR</w:t>
            </w:r>
          </w:p>
        </w:tc>
        <w:tc>
          <w:tcPr>
            <w:tcW w:type="dxa" w:w="7132"/>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The true yearly cost of a loan, including fees, from the money actually received</w:t>
            </w:r>
          </w:p>
        </w:tc>
      </w:tr>
      <w:tr>
        <w:tc>
          <w:tcPr>
            <w:tcW w:type="dxa" w:w="2506"/>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Sandbox</w:t>
            </w:r>
          </w:p>
        </w:tc>
        <w:tc>
          <w:tcPr>
            <w:tcW w:type="dxa" w:w="7132"/>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A simulated account; no real money moves</w:t>
            </w:r>
          </w:p>
        </w:tc>
      </w:tr>
      <w:tr>
        <w:tc>
          <w:tcPr>
            <w:tcW w:type="dxa" w:w="2506"/>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Tier</w:t>
            </w:r>
          </w:p>
        </w:tc>
        <w:tc>
          <w:tcPr>
            <w:tcW w:type="dxa" w:w="7132"/>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The permission level an action needs (0 read, 1 prepare, 2 money, 3 blocked)</w:t>
            </w:r>
          </w:p>
        </w:tc>
      </w:tr>
      <w:tr>
        <w:tc>
          <w:tcPr>
            <w:tcW w:type="dxa" w:w="2506"/>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Hash chain</w:t>
            </w:r>
          </w:p>
        </w:tc>
        <w:tc>
          <w:tcPr>
            <w:tcW w:type="dxa" w:w="7132"/>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Each audit entry stores the fingerprint of the previous one, so edits or deletions are detectable</w:t>
            </w:r>
          </w:p>
        </w:tc>
      </w:tr>
      <w:tr>
        <w:tc>
          <w:tcPr>
            <w:tcW w:type="dxa" w:w="2506"/>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WFP, HDX</w:t>
            </w:r>
          </w:p>
        </w:tc>
        <w:tc>
          <w:tcPr>
            <w:tcW w:type="dxa" w:w="7132"/>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World Food Programme; the Humanitarian Data Exchange, which publishes its price data</w:t>
            </w:r>
          </w:p>
        </w:tc>
      </w:tr>
      <w:tr>
        <w:tc>
          <w:tcPr>
            <w:tcW w:type="dxa" w:w="2506"/>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Chronos-Bolt</w:t>
            </w:r>
          </w:p>
        </w:tc>
        <w:tc>
          <w:tcPr>
            <w:tcW w:type="dxa" w:w="7132"/>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A small open time-series forecasting model from Amazon, run on the server's CPU</w:t>
            </w:r>
          </w:p>
        </w:tc>
      </w:tr>
    </w:tbl>
    <w:p>
      <w:pPr>
        <w:pStyle w:val="Heading1"/>
        <w:pageBreakBefore/>
      </w:pPr>
      <w:bookmarkStart w:name="_Toc47" w:id="47"/>
      <w:r>
        <w:t xml:space="preserve">Appendix B. Repository map</w:t>
      </w:r>
      <w:bookmarkEnd w:id="4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9D2CA" w:sz="4"/>
              <w:left w:val="single" w:color="D9D2CA" w:sz="4"/>
              <w:bottom w:val="single" w:color="D9D2CA" w:sz="4"/>
              <w:right w:val="single" w:color="D9D2CA" w:sz="4"/>
            </w:tcBorders>
            <w:shd w:fill="FBE9E0" w:color="auto" w:val="clear"/>
            <w:tcMar>
              <w:top w:type="dxa" w:w="60"/>
              <w:left w:type="dxa" w:w="100"/>
              <w:bottom w:type="dxa" w:w="60"/>
              <w:right w:type="dxa" w:w="100"/>
            </w:tcMar>
          </w:tcPr>
          <w:p>
            <w:pPr>
              <w:spacing w:after="0" w:line="264"/>
            </w:pPr>
            <w:r>
              <w:rPr>
                <w:b/>
                <w:bCs/>
              </w:rPr>
              <w:t xml:space="preserve">Path</w:t>
            </w:r>
          </w:p>
        </w:tc>
        <w:tc>
          <w:tcPr>
            <w:tcW w:type="dxa" w:w="6747"/>
            <w:tcBorders>
              <w:top w:val="single" w:color="D9D2CA" w:sz="4"/>
              <w:left w:val="single" w:color="D9D2CA" w:sz="4"/>
              <w:bottom w:val="single" w:color="D9D2CA" w:sz="4"/>
              <w:right w:val="single" w:color="D9D2CA" w:sz="4"/>
            </w:tcBorders>
            <w:shd w:fill="FBE9E0" w:color="auto" w:val="clear"/>
            <w:tcMar>
              <w:top w:type="dxa" w:w="60"/>
              <w:left w:type="dxa" w:w="100"/>
              <w:bottom w:type="dxa" w:w="60"/>
              <w:right w:type="dxa" w:w="100"/>
            </w:tcMar>
          </w:tcPr>
          <w:p>
            <w:pPr>
              <w:spacing w:after="0" w:line="264"/>
            </w:pPr>
            <w:r>
              <w:rPr>
                <w:b/>
                <w:bCs/>
              </w:rPr>
              <w:t xml:space="preserve">Contents</w:t>
            </w:r>
          </w:p>
        </w:tc>
      </w:tr>
      <w:tr>
        <w:tc>
          <w:tcPr>
            <w:tcW w:type="dxa" w:w="2891"/>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frontend/</w:t>
            </w:r>
          </w:p>
        </w:tc>
        <w:tc>
          <w:tcPr>
            <w:tcW w:type="dxa" w:w="6747"/>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Web interface, Chinese dictionary, price drawer, service worker</w:t>
            </w:r>
          </w:p>
        </w:tc>
      </w:tr>
      <w:tr>
        <w:tc>
          <w:tcPr>
            <w:tcW w:type="dxa" w:w="2891"/>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sme_copilot/</w:t>
            </w:r>
          </w:p>
        </w:tc>
        <w:tc>
          <w:tcPr>
            <w:tcW w:type="dxa" w:w="6747"/>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Server: API, agent, providers, finance tools, market prices, guided tasks, security</w:t>
            </w:r>
          </w:p>
        </w:tc>
      </w:tr>
      <w:tr>
        <w:tc>
          <w:tcPr>
            <w:tcW w:type="dxa" w:w="2891"/>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config/</w:t>
            </w:r>
          </w:p>
        </w:tc>
        <w:tc>
          <w:tcPr>
            <w:tcW w:type="dxa" w:w="6747"/>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Model profiles, financing catalog, compliance rules</w:t>
            </w:r>
          </w:p>
        </w:tc>
      </w:tr>
      <w:tr>
        <w:tc>
          <w:tcPr>
            <w:tcW w:type="dxa" w:w="2891"/>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seed/demo/</w:t>
            </w:r>
          </w:p>
        </w:tc>
        <w:tc>
          <w:tcPr>
            <w:tcW w:type="dxa" w:w="6747"/>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Synthetic demo statements and invoices</w:t>
            </w:r>
          </w:p>
        </w:tc>
      </w:tr>
      <w:tr>
        <w:tc>
          <w:tcPr>
            <w:tcW w:type="dxa" w:w="2891"/>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scripts/</w:t>
            </w:r>
          </w:p>
        </w:tc>
        <w:tc>
          <w:tcPr>
            <w:tcW w:type="dxa" w:w="6747"/>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Launch scripts, price snapshot builder, price backtest</w:t>
            </w:r>
          </w:p>
        </w:tc>
      </w:tr>
      <w:tr>
        <w:tc>
          <w:tcPr>
            <w:tcW w:type="dxa" w:w="2891"/>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tests/</w:t>
            </w:r>
          </w:p>
        </w:tc>
        <w:tc>
          <w:tcPr>
            <w:tcW w:type="dxa" w:w="6747"/>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Python tests and interface tests (tests/ui)</w:t>
            </w:r>
          </w:p>
        </w:tc>
      </w:tr>
      <w:tr>
        <w:tc>
          <w:tcPr>
            <w:tcW w:type="dxa" w:w="2891"/>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docs/</w:t>
            </w:r>
          </w:p>
        </w:tc>
        <w:tc>
          <w:tcPr>
            <w:tcW w:type="dxa" w:w="6747"/>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Technical documentation, security self-assessment, test report, execution evidence, demo script, presentation outline, design principles</w:t>
            </w:r>
          </w:p>
        </w:tc>
      </w:tr>
      <w:tr>
        <w:tc>
          <w:tcPr>
            <w:tcW w:type="dxa" w:w="2891"/>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THIRD_PARTY_NOTICES.md</w:t>
            </w:r>
          </w:p>
        </w:tc>
        <w:tc>
          <w:tcPr>
            <w:tcW w:type="dxa" w:w="6747"/>
            <w:tcBorders>
              <w:top w:val="single" w:color="D9D2CA" w:sz="4"/>
              <w:left w:val="single" w:color="D9D2CA" w:sz="4"/>
              <w:bottom w:val="single" w:color="D9D2CA" w:sz="4"/>
              <w:right w:val="single" w:color="D9D2CA" w:sz="4"/>
            </w:tcBorders>
            <w:tcMar>
              <w:top w:type="dxa" w:w="60"/>
              <w:left w:type="dxa" w:w="100"/>
              <w:bottom w:type="dxa" w:w="60"/>
              <w:right w:type="dxa" w:w="100"/>
            </w:tcMar>
          </w:tcPr>
          <w:p>
            <w:pPr>
              <w:spacing w:after="0" w:line="264"/>
            </w:pPr>
            <w:r>
              <w:t xml:space="preserve">Licences for data, libraries and models</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7534F"/>
        <w:sz w:val="18"/>
        <w:szCs w:val="18"/>
      </w:rPr>
      <w:t xml:space="preserve">Page </w:t>
    </w:r>
    <w:r>
      <w:rPr>
        <w:color w:val="57534F"/>
        <w:sz w:val="18"/>
        <w:szCs w:val="18"/>
      </w:rPr>
      <w:fldChar w:fldCharType="begin"/>
    </w:r>
    <w:r>
      <w:rPr>
        <w:color w:val="57534F"/>
        <w:sz w:val="18"/>
        <w:szCs w:val="18"/>
      </w:rPr>
      <w:instrText xml:space="preserve">PAGE</w:instrText>
    </w:r>
    <w:r>
      <w:rPr>
        <w:color w:val="57534F"/>
        <w:sz w:val="18"/>
        <w:szCs w:val="18"/>
      </w:rPr>
      <w:fldChar w:fldCharType="separate"/>
    </w:r>
    <w:r>
      <w:rPr>
        <w:color w:val="57534F"/>
        <w:sz w:val="18"/>
        <w:szCs w:val="18"/>
      </w:rPr>
      <w:fldChar w:fldCharType="end"/>
    </w:r>
    <w:r>
      <w:rPr>
        <w:color w:val="57534F"/>
        <w:sz w:val="18"/>
        <w:szCs w:val="18"/>
      </w:rPr>
      <w:t xml:space="preserve"> of </w:t>
    </w:r>
    <w:r>
      <w:rPr>
        <w:color w:val="57534F"/>
        <w:sz w:val="18"/>
        <w:szCs w:val="18"/>
      </w:rPr>
      <w:fldChar w:fldCharType="begin"/>
    </w:r>
    <w:r>
      <w:rPr>
        <w:color w:val="57534F"/>
        <w:sz w:val="18"/>
        <w:szCs w:val="18"/>
      </w:rPr>
      <w:instrText xml:space="preserve">NUMPAGES</w:instrText>
    </w:r>
    <w:r>
      <w:rPr>
        <w:color w:val="57534F"/>
        <w:sz w:val="18"/>
        <w:szCs w:val="18"/>
      </w:rPr>
      <w:fldChar w:fldCharType="separate"/>
    </w:r>
    <w:r>
      <w:rPr>
        <w:color w:val="57534F"/>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7534F"/>
        <w:sz w:val="18"/>
        <w:szCs w:val="18"/>
      </w:rPr>
      <w:t xml:space="preserve">SME Finance Copilot · Application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abstractNum>
  <w:abstractNum w:abstractNumId="3"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9292D"/>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outlineLvl w:val="0"/>
    </w:pPr>
    <w:rPr>
      <w:rFonts w:ascii="Calibri" w:cs="Calibri" w:eastAsia="Calibri" w:hAnsi="Calibri"/>
      <w:b/>
      <w:bCs/>
      <w:color w:val="A84227"/>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29292D"/>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57534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SME Finance Copilot - Application documentation</dc:title>
  <dc:creator>[Team name]</dc:creator>
  <cp:lastModifiedBy>Un-named</cp:lastModifiedBy>
  <cp:revision>1</cp:revision>
  <dcterms:created xsi:type="dcterms:W3CDTF">2026-10-18T21:30:47.712Z</dcterms:created>
  <dcterms:modified xsi:type="dcterms:W3CDTF">2026-10-18T21:30:47.713Z</dcterms:modified>
</cp:coreProperties>
</file>

<file path=docProps/custom.xml><?xml version="1.0" encoding="utf-8"?>
<Properties xmlns="http://schemas.openxmlformats.org/officeDocument/2006/custom-properties" xmlns:vt="http://schemas.openxmlformats.org/officeDocument/2006/docPropsVTypes"/>
</file>