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7A25" w14:textId="62A6335B" w:rsidR="004E207D" w:rsidRPr="00903A20" w:rsidRDefault="00903A20" w:rsidP="004E207D">
      <w:pPr>
        <w:pBdr>
          <w:bottom w:val="single" w:sz="4" w:space="1" w:color="auto"/>
        </w:pBdr>
        <w:spacing w:line="240" w:lineRule="auto"/>
        <w:rPr>
          <w:color w:val="FF0000"/>
          <w:lang w:val="pt-BR"/>
        </w:rPr>
      </w:pPr>
      <w:r w:rsidRPr="00903A20">
        <w:rPr>
          <w:color w:val="FF0000"/>
          <w:lang w:val="pt-BR"/>
        </w:rPr>
        <w:t>To be filled by organisers</w:t>
      </w:r>
    </w:p>
    <w:p w14:paraId="409B8EBF" w14:textId="77777777" w:rsidR="004E207D" w:rsidRDefault="004E207D" w:rsidP="004E207D">
      <w:pPr>
        <w:tabs>
          <w:tab w:val="left" w:pos="360"/>
        </w:tabs>
        <w:spacing w:line="240" w:lineRule="auto"/>
        <w:jc w:val="center"/>
        <w:rPr>
          <w:bCs/>
          <w:sz w:val="28"/>
          <w:szCs w:val="28"/>
          <w:lang w:val="en-GB"/>
        </w:rPr>
      </w:pPr>
    </w:p>
    <w:p w14:paraId="2ABFFCCC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sz w:val="28"/>
          <w:szCs w:val="28"/>
          <w:lang w:val="en-GB"/>
        </w:rPr>
      </w:pPr>
      <w:r w:rsidRPr="001E6116">
        <w:rPr>
          <w:bCs/>
          <w:sz w:val="28"/>
          <w:szCs w:val="28"/>
          <w:lang w:val="en-GB"/>
        </w:rPr>
        <w:t>CO</w:t>
      </w:r>
      <w:r w:rsidRPr="001E6116">
        <w:rPr>
          <w:bCs/>
          <w:sz w:val="28"/>
          <w:szCs w:val="28"/>
          <w:vertAlign w:val="subscript"/>
          <w:lang w:val="en-GB"/>
        </w:rPr>
        <w:t>2</w:t>
      </w:r>
      <w:r w:rsidRPr="001E6116">
        <w:rPr>
          <w:bCs/>
          <w:sz w:val="28"/>
          <w:szCs w:val="28"/>
          <w:lang w:val="en-GB"/>
        </w:rPr>
        <w:t xml:space="preserve"> absorption in ionic liquids under high-pressure conditions</w:t>
      </w:r>
    </w:p>
    <w:p w14:paraId="2251D58F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u w:val="single"/>
          <w:lang w:val="en-GB"/>
        </w:rPr>
      </w:pPr>
    </w:p>
    <w:p w14:paraId="387A924F" w14:textId="77777777" w:rsidR="004E207D" w:rsidRDefault="004E207D" w:rsidP="004E207D">
      <w:pPr>
        <w:tabs>
          <w:tab w:val="left" w:pos="360"/>
        </w:tabs>
        <w:spacing w:line="240" w:lineRule="auto"/>
        <w:jc w:val="center"/>
        <w:rPr>
          <w:szCs w:val="24"/>
          <w:lang w:val="en-GB"/>
        </w:rPr>
      </w:pPr>
      <w:r w:rsidRPr="001E6116">
        <w:rPr>
          <w:szCs w:val="24"/>
          <w:u w:val="single"/>
          <w:lang w:val="en-GB"/>
        </w:rPr>
        <w:t>Takashi Makino</w:t>
      </w:r>
      <w:r w:rsidRPr="001E6116">
        <w:rPr>
          <w:szCs w:val="24"/>
          <w:vertAlign w:val="superscript"/>
          <w:lang w:val="en-GB"/>
        </w:rPr>
        <w:t>1</w:t>
      </w:r>
      <w:r w:rsidRPr="001E6116">
        <w:rPr>
          <w:szCs w:val="24"/>
          <w:lang w:val="en-GB"/>
        </w:rPr>
        <w:t>, Tatsuya Umecky</w:t>
      </w:r>
      <w:r w:rsidRPr="001E6116">
        <w:rPr>
          <w:szCs w:val="24"/>
          <w:vertAlign w:val="superscript"/>
          <w:lang w:val="en-GB"/>
        </w:rPr>
        <w:t>2</w:t>
      </w:r>
      <w:r w:rsidRPr="001E6116">
        <w:rPr>
          <w:szCs w:val="24"/>
          <w:lang w:val="en-GB"/>
        </w:rPr>
        <w:t>, Masaki Watanabe</w:t>
      </w:r>
      <w:r w:rsidRPr="001E6116">
        <w:rPr>
          <w:szCs w:val="24"/>
          <w:vertAlign w:val="superscript"/>
          <w:lang w:val="en-GB"/>
        </w:rPr>
        <w:t>3</w:t>
      </w:r>
      <w:r w:rsidRPr="001E6116">
        <w:rPr>
          <w:szCs w:val="24"/>
          <w:lang w:val="en-GB"/>
        </w:rPr>
        <w:t>, Daisuke Kodama</w:t>
      </w:r>
      <w:r w:rsidRPr="001E6116">
        <w:rPr>
          <w:szCs w:val="24"/>
          <w:vertAlign w:val="superscript"/>
          <w:lang w:val="en-GB"/>
        </w:rPr>
        <w:t>3</w:t>
      </w:r>
      <w:r w:rsidRPr="001E6116">
        <w:rPr>
          <w:szCs w:val="24"/>
          <w:lang w:val="en-GB"/>
        </w:rPr>
        <w:t>,</w:t>
      </w:r>
    </w:p>
    <w:p w14:paraId="514BC5DA" w14:textId="77777777" w:rsidR="004E207D" w:rsidRPr="004E207D" w:rsidRDefault="004E207D" w:rsidP="004E207D">
      <w:pPr>
        <w:tabs>
          <w:tab w:val="left" w:pos="360"/>
        </w:tabs>
        <w:spacing w:line="240" w:lineRule="auto"/>
        <w:jc w:val="center"/>
        <w:rPr>
          <w:szCs w:val="24"/>
          <w:vertAlign w:val="superscript"/>
          <w:lang w:val="en-GB"/>
        </w:rPr>
      </w:pPr>
      <w:r w:rsidRPr="004E207D">
        <w:rPr>
          <w:szCs w:val="24"/>
          <w:lang w:val="en-GB"/>
        </w:rPr>
        <w:t>Mitsuhiro Kanakubo</w:t>
      </w:r>
      <w:r w:rsidRPr="004E207D">
        <w:rPr>
          <w:szCs w:val="24"/>
          <w:vertAlign w:val="superscript"/>
          <w:lang w:val="en-GB"/>
        </w:rPr>
        <w:t>1</w:t>
      </w:r>
    </w:p>
    <w:p w14:paraId="62F21E46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szCs w:val="24"/>
          <w:u w:val="single"/>
          <w:lang w:val="en-GB"/>
        </w:rPr>
      </w:pPr>
    </w:p>
    <w:p w14:paraId="7D805AB6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sz w:val="18"/>
          <w:szCs w:val="18"/>
          <w:lang w:val="en-GB"/>
        </w:rPr>
      </w:pPr>
      <w:r w:rsidRPr="001E6116">
        <w:rPr>
          <w:sz w:val="18"/>
          <w:szCs w:val="18"/>
          <w:vertAlign w:val="superscript"/>
          <w:lang w:val="en-GB"/>
        </w:rPr>
        <w:t>1</w:t>
      </w:r>
      <w:r w:rsidRPr="001E6116">
        <w:rPr>
          <w:sz w:val="18"/>
          <w:szCs w:val="18"/>
          <w:lang w:val="en-GB"/>
        </w:rPr>
        <w:t>Research Institute for Chemical Process Technology, National Institute of Advanced Industrial Science and Technology, Japan</w:t>
      </w:r>
    </w:p>
    <w:p w14:paraId="4024FEEA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sz w:val="18"/>
          <w:szCs w:val="18"/>
          <w:vertAlign w:val="superscript"/>
          <w:lang w:val="en-GB"/>
        </w:rPr>
      </w:pPr>
      <w:r w:rsidRPr="001E6116">
        <w:rPr>
          <w:sz w:val="18"/>
          <w:szCs w:val="18"/>
          <w:vertAlign w:val="superscript"/>
          <w:lang w:val="en-GB"/>
        </w:rPr>
        <w:t>2</w:t>
      </w:r>
      <w:r w:rsidRPr="001E6116">
        <w:rPr>
          <w:sz w:val="18"/>
          <w:szCs w:val="18"/>
          <w:lang w:val="en-GB"/>
        </w:rPr>
        <w:t xml:space="preserve"> Graduate School of Science and Engineering, Saga University, Japan</w:t>
      </w:r>
    </w:p>
    <w:p w14:paraId="66542827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sz w:val="18"/>
          <w:szCs w:val="18"/>
          <w:lang w:val="en-GB"/>
        </w:rPr>
      </w:pPr>
      <w:r w:rsidRPr="001E6116">
        <w:rPr>
          <w:sz w:val="18"/>
          <w:szCs w:val="18"/>
          <w:vertAlign w:val="superscript"/>
          <w:lang w:val="en-GB"/>
        </w:rPr>
        <w:t>3</w:t>
      </w:r>
      <w:r w:rsidRPr="001E6116">
        <w:rPr>
          <w:sz w:val="18"/>
          <w:szCs w:val="18"/>
          <w:lang w:val="en-GB"/>
        </w:rPr>
        <w:t>Department of Chemical Biology and Applied Chemistry, College of Engineering, Nihon University, Japan</w:t>
      </w:r>
    </w:p>
    <w:p w14:paraId="45955581" w14:textId="77777777" w:rsidR="004E207D" w:rsidRPr="001E6116" w:rsidRDefault="004E207D" w:rsidP="004E207D">
      <w:pPr>
        <w:tabs>
          <w:tab w:val="left" w:pos="360"/>
        </w:tabs>
        <w:spacing w:line="240" w:lineRule="auto"/>
        <w:jc w:val="center"/>
        <w:rPr>
          <w:sz w:val="18"/>
          <w:szCs w:val="18"/>
          <w:lang w:val="en-GB"/>
        </w:rPr>
      </w:pPr>
    </w:p>
    <w:p w14:paraId="0CFE20F0" w14:textId="77777777" w:rsidR="004E207D" w:rsidRPr="0065543C" w:rsidRDefault="004E207D" w:rsidP="004E207D">
      <w:pPr>
        <w:tabs>
          <w:tab w:val="left" w:pos="360"/>
        </w:tabs>
        <w:spacing w:line="240" w:lineRule="auto"/>
        <w:jc w:val="center"/>
        <w:rPr>
          <w:sz w:val="20"/>
          <w:szCs w:val="20"/>
          <w:lang w:val="pt-BR"/>
        </w:rPr>
      </w:pPr>
      <w:r w:rsidRPr="00BF2D71">
        <w:rPr>
          <w:iCs/>
          <w:color w:val="000000"/>
          <w:sz w:val="20"/>
          <w:szCs w:val="20"/>
          <w:lang w:val="pt-BR" w:eastAsia="zh-CN"/>
        </w:rPr>
        <w:t xml:space="preserve">e-mail: </w:t>
      </w:r>
      <w:r w:rsidRPr="00BF2D71">
        <w:rPr>
          <w:iCs/>
          <w:sz w:val="20"/>
          <w:szCs w:val="20"/>
          <w:lang w:val="pt-BR" w:eastAsia="zh-CN"/>
        </w:rPr>
        <w:t>makino.t@aist.go.jp, m-kanakubo@aist.go.jp</w:t>
      </w:r>
    </w:p>
    <w:p w14:paraId="0C426052" w14:textId="77777777" w:rsidR="004E207D" w:rsidRPr="00BF2D71" w:rsidRDefault="004E207D" w:rsidP="004E207D">
      <w:pPr>
        <w:pBdr>
          <w:bottom w:val="single" w:sz="4" w:space="1" w:color="auto"/>
        </w:pBdr>
        <w:spacing w:line="240" w:lineRule="auto"/>
        <w:rPr>
          <w:lang w:val="pt-BR"/>
        </w:rPr>
      </w:pPr>
    </w:p>
    <w:p w14:paraId="6975E80D" w14:textId="77777777" w:rsidR="004E207D" w:rsidRPr="00BF2D71" w:rsidRDefault="004E207D" w:rsidP="004E207D">
      <w:pPr>
        <w:spacing w:line="240" w:lineRule="auto"/>
        <w:jc w:val="both"/>
        <w:rPr>
          <w:lang w:val="pt-BR"/>
        </w:rPr>
      </w:pPr>
    </w:p>
    <w:p w14:paraId="6B5438C0" w14:textId="77777777" w:rsidR="004E207D" w:rsidRPr="001E6116" w:rsidRDefault="004E207D" w:rsidP="004E207D">
      <w:pPr>
        <w:spacing w:line="240" w:lineRule="auto"/>
        <w:jc w:val="both"/>
        <w:rPr>
          <w:rFonts w:cs="Arial"/>
          <w:sz w:val="22"/>
          <w:lang w:val="en-GB"/>
        </w:rPr>
      </w:pPr>
      <w:r w:rsidRPr="001E6116">
        <w:rPr>
          <w:rFonts w:cs="Arial"/>
          <w:sz w:val="22"/>
          <w:lang w:val="en-GB"/>
        </w:rPr>
        <w:t xml:space="preserve">Ionic liquids (ILs) are salts, of which </w:t>
      </w:r>
      <w:r w:rsidRPr="001E6116">
        <w:rPr>
          <w:rFonts w:eastAsiaTheme="minorEastAsia" w:cs="Arial"/>
          <w:sz w:val="22"/>
          <w:lang w:val="en-GB" w:eastAsia="ja-JP"/>
        </w:rPr>
        <w:t xml:space="preserve">the </w:t>
      </w:r>
      <w:r w:rsidRPr="001E6116">
        <w:rPr>
          <w:rFonts w:cs="Arial"/>
          <w:sz w:val="22"/>
          <w:lang w:val="en-GB"/>
        </w:rPr>
        <w:t xml:space="preserve">melting temperatures are at or below ambient temperature. They have some unique characteristics such as non-volatility, non-flammability, </w:t>
      </w:r>
      <w:r w:rsidRPr="001E6116">
        <w:rPr>
          <w:rFonts w:eastAsiaTheme="minorEastAsia" w:cs="Arial"/>
          <w:sz w:val="22"/>
          <w:lang w:val="en-GB" w:eastAsia="ja-JP"/>
        </w:rPr>
        <w:t xml:space="preserve">high </w:t>
      </w:r>
      <w:r w:rsidRPr="001E6116">
        <w:rPr>
          <w:rFonts w:cs="Arial"/>
          <w:sz w:val="22"/>
          <w:lang w:val="en-GB"/>
        </w:rPr>
        <w:t>electrical conductivity, miscibility with various chemicals, and so on. Furthermore,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is dissolved well in some kinds of ILs, while ILs </w:t>
      </w:r>
      <w:r w:rsidRPr="001E6116">
        <w:rPr>
          <w:rFonts w:eastAsiaTheme="minorEastAsia" w:cs="Arial"/>
          <w:sz w:val="22"/>
          <w:lang w:val="en-GB" w:eastAsia="ja-JP"/>
        </w:rPr>
        <w:t>are</w:t>
      </w:r>
      <w:r w:rsidRPr="001E6116">
        <w:rPr>
          <w:rFonts w:cs="Arial"/>
          <w:sz w:val="22"/>
          <w:lang w:val="en-GB"/>
        </w:rPr>
        <w:t xml:space="preserve"> not evaporated at all in 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phase even under the high-pressure conditions. These </w:t>
      </w:r>
      <w:proofErr w:type="spellStart"/>
      <w:r w:rsidRPr="001E6116">
        <w:rPr>
          <w:rFonts w:cs="Arial"/>
          <w:sz w:val="22"/>
          <w:lang w:val="en-GB"/>
        </w:rPr>
        <w:t>favorable</w:t>
      </w:r>
      <w:proofErr w:type="spellEnd"/>
      <w:r w:rsidRPr="001E6116">
        <w:rPr>
          <w:rFonts w:cs="Arial"/>
          <w:sz w:val="22"/>
          <w:lang w:val="en-GB"/>
        </w:rPr>
        <w:t xml:space="preserve"> characters can overcome some drawbacks of the current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absorbent</w:t>
      </w:r>
      <w:r w:rsidRPr="001E6116">
        <w:rPr>
          <w:rFonts w:eastAsiaTheme="minorEastAsia" w:cs="Arial"/>
          <w:sz w:val="22"/>
          <w:lang w:val="en-GB" w:eastAsia="ja-JP"/>
        </w:rPr>
        <w:t>s,</w:t>
      </w:r>
      <w:r w:rsidRPr="001E6116">
        <w:rPr>
          <w:rFonts w:cs="Arial"/>
          <w:sz w:val="22"/>
          <w:lang w:val="en-GB"/>
        </w:rPr>
        <w:t xml:space="preserve"> flammability and volatility of absorbent</w:t>
      </w:r>
      <w:r w:rsidRPr="001E6116">
        <w:rPr>
          <w:rFonts w:eastAsiaTheme="minorEastAsia" w:cs="Arial"/>
          <w:sz w:val="22"/>
          <w:lang w:val="en-GB" w:eastAsia="ja-JP"/>
        </w:rPr>
        <w:t>s</w:t>
      </w:r>
      <w:r w:rsidRPr="001E6116">
        <w:rPr>
          <w:rFonts w:cs="Arial"/>
          <w:sz w:val="22"/>
          <w:lang w:val="en-GB"/>
        </w:rPr>
        <w:t xml:space="preserve">, and high energy-consumption during absorption and/or desorption. Since the first report on the phase </w:t>
      </w:r>
      <w:proofErr w:type="spellStart"/>
      <w:r w:rsidRPr="001E6116">
        <w:rPr>
          <w:rFonts w:cs="Arial"/>
          <w:sz w:val="22"/>
          <w:lang w:val="en-GB"/>
        </w:rPr>
        <w:t>behavior</w:t>
      </w:r>
      <w:proofErr w:type="spellEnd"/>
      <w:r w:rsidRPr="001E6116">
        <w:rPr>
          <w:rFonts w:cs="Arial"/>
          <w:sz w:val="22"/>
          <w:lang w:val="en-GB"/>
        </w:rPr>
        <w:t xml:space="preserve"> of the IL +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system [1],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absorption in ILs has been well-investigated at various temperatures and pressures to develop better IL absorbents and </w:t>
      </w:r>
      <w:r w:rsidRPr="001E6116">
        <w:rPr>
          <w:rFonts w:eastAsiaTheme="minorEastAsia" w:cs="Arial"/>
          <w:sz w:val="22"/>
          <w:lang w:val="en-GB" w:eastAsia="ja-JP"/>
        </w:rPr>
        <w:t>design</w:t>
      </w:r>
      <w:r w:rsidRPr="001E6116">
        <w:rPr>
          <w:rFonts w:cs="Arial"/>
          <w:sz w:val="22"/>
          <w:lang w:val="en-GB"/>
        </w:rPr>
        <w:t xml:space="preserve">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capture processes using ILs. However, the mole fraction scaled solubilities </w:t>
      </w:r>
      <w:r w:rsidRPr="001E6116">
        <w:rPr>
          <w:rFonts w:eastAsiaTheme="minorEastAsia" w:cs="Arial"/>
          <w:sz w:val="22"/>
          <w:lang w:val="en-GB" w:eastAsia="ja-JP"/>
        </w:rPr>
        <w:t>and</w:t>
      </w:r>
      <w:r w:rsidRPr="001E6116">
        <w:rPr>
          <w:rFonts w:cs="Arial"/>
          <w:sz w:val="22"/>
          <w:lang w:val="en-GB"/>
        </w:rPr>
        <w:t xml:space="preserve"> the Henry </w:t>
      </w:r>
      <w:proofErr w:type="spellStart"/>
      <w:r w:rsidRPr="001E6116">
        <w:rPr>
          <w:rFonts w:cs="Arial"/>
          <w:sz w:val="22"/>
          <w:lang w:val="en-GB"/>
        </w:rPr>
        <w:t>constatns</w:t>
      </w:r>
      <w:proofErr w:type="spellEnd"/>
      <w:r w:rsidRPr="001E6116">
        <w:rPr>
          <w:rFonts w:cs="Arial"/>
          <w:sz w:val="22"/>
          <w:lang w:val="en-GB"/>
        </w:rPr>
        <w:t xml:space="preserve"> were only reported in many cases. The</w:t>
      </w:r>
      <w:r w:rsidRPr="001E6116">
        <w:rPr>
          <w:rFonts w:eastAsiaTheme="minorEastAsia" w:cs="Arial"/>
          <w:sz w:val="22"/>
          <w:lang w:val="en-GB" w:eastAsia="ja-JP"/>
        </w:rPr>
        <w:t>y</w:t>
      </w:r>
      <w:r w:rsidRPr="001E6116">
        <w:rPr>
          <w:rFonts w:cs="Arial"/>
          <w:sz w:val="22"/>
          <w:lang w:val="en-GB"/>
        </w:rPr>
        <w:t xml:space="preserve"> are measure</w:t>
      </w:r>
      <w:r w:rsidRPr="001E6116">
        <w:rPr>
          <w:rFonts w:eastAsiaTheme="minorEastAsia" w:cs="Arial"/>
          <w:sz w:val="22"/>
          <w:lang w:val="en-GB" w:eastAsia="ja-JP"/>
        </w:rPr>
        <w:t>s</w:t>
      </w:r>
      <w:r w:rsidRPr="001E6116">
        <w:rPr>
          <w:rFonts w:cs="Arial"/>
          <w:sz w:val="22"/>
          <w:lang w:val="en-GB"/>
        </w:rPr>
        <w:t xml:space="preserve"> of 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absorption propert</w:t>
      </w:r>
      <w:r w:rsidRPr="001E6116">
        <w:rPr>
          <w:rFonts w:eastAsiaTheme="minorEastAsia" w:cs="Arial"/>
          <w:sz w:val="22"/>
          <w:lang w:val="en-GB" w:eastAsia="ja-JP"/>
        </w:rPr>
        <w:t>ies</w:t>
      </w:r>
      <w:r w:rsidRPr="001E6116">
        <w:rPr>
          <w:rFonts w:cs="Arial"/>
          <w:sz w:val="22"/>
          <w:lang w:val="en-GB"/>
        </w:rPr>
        <w:t xml:space="preserve"> in ILs, but the molecular volume</w:t>
      </w:r>
      <w:r w:rsidRPr="001E6116">
        <w:rPr>
          <w:rFonts w:eastAsiaTheme="minorEastAsia" w:cs="Arial"/>
          <w:sz w:val="22"/>
          <w:lang w:val="en-GB" w:eastAsia="ja-JP"/>
        </w:rPr>
        <w:t>s</w:t>
      </w:r>
      <w:r w:rsidRPr="001E6116">
        <w:rPr>
          <w:rFonts w:cs="Arial"/>
          <w:sz w:val="22"/>
          <w:lang w:val="en-GB"/>
        </w:rPr>
        <w:t>/weight</w:t>
      </w:r>
      <w:r w:rsidRPr="001E6116">
        <w:rPr>
          <w:rFonts w:eastAsiaTheme="minorEastAsia" w:cs="Arial"/>
          <w:sz w:val="22"/>
          <w:lang w:val="en-GB" w:eastAsia="ja-JP"/>
        </w:rPr>
        <w:t>s</w:t>
      </w:r>
      <w:r w:rsidRPr="001E6116">
        <w:rPr>
          <w:rFonts w:cs="Arial"/>
          <w:sz w:val="22"/>
          <w:lang w:val="en-GB"/>
        </w:rPr>
        <w:t xml:space="preserve"> of ILs</w:t>
      </w:r>
      <w:r w:rsidRPr="001E6116">
        <w:rPr>
          <w:rFonts w:eastAsiaTheme="minorEastAsia" w:cs="Arial"/>
          <w:sz w:val="22"/>
          <w:lang w:val="en-GB" w:eastAsia="ja-JP"/>
        </w:rPr>
        <w:t xml:space="preserve"> are not taken into consideration</w:t>
      </w:r>
      <w:r w:rsidRPr="001E6116">
        <w:rPr>
          <w:rFonts w:cs="Arial"/>
          <w:sz w:val="22"/>
          <w:lang w:val="en-GB"/>
        </w:rPr>
        <w:t>. More important information for the engineering design in 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separation is 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capacity, i.e. the molarity or molality scaled solubilities of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. </w:t>
      </w:r>
      <w:r w:rsidRPr="001E6116">
        <w:rPr>
          <w:rFonts w:eastAsiaTheme="minorEastAsia" w:cs="Arial"/>
          <w:sz w:val="22"/>
          <w:lang w:val="en-GB" w:eastAsia="ja-JP"/>
        </w:rPr>
        <w:t>A v</w:t>
      </w:r>
      <w:r w:rsidRPr="001E6116">
        <w:rPr>
          <w:rFonts w:cs="Arial"/>
          <w:sz w:val="22"/>
          <w:lang w:val="en-GB"/>
        </w:rPr>
        <w:t>ery limited information is available for the effect of chemical modifications on 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capacities in ILs. Our research group have investigated pressure–volume–temperature–composition (</w:t>
      </w:r>
      <w:proofErr w:type="spellStart"/>
      <w:r w:rsidRPr="001E6116">
        <w:rPr>
          <w:rFonts w:cs="Arial"/>
          <w:i/>
          <w:sz w:val="22"/>
          <w:lang w:val="en-GB"/>
        </w:rPr>
        <w:t>pVTx</w:t>
      </w:r>
      <w:proofErr w:type="spellEnd"/>
      <w:r w:rsidRPr="001E6116">
        <w:rPr>
          <w:rFonts w:cs="Arial"/>
          <w:sz w:val="22"/>
          <w:lang w:val="en-GB"/>
        </w:rPr>
        <w:t>) relations for IL +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mixtures to obtain both the mole fraction and molarity scaled solubilities [2]. For example, we demonstrated that the ether group on the ammonium enhanced the molarity of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</w:t>
      </w:r>
      <w:r w:rsidRPr="001E6116">
        <w:rPr>
          <w:rFonts w:eastAsiaTheme="minorEastAsia" w:cs="Arial"/>
          <w:sz w:val="22"/>
          <w:lang w:val="en-GB" w:eastAsia="ja-JP"/>
        </w:rPr>
        <w:t xml:space="preserve">through </w:t>
      </w:r>
      <w:r w:rsidRPr="001E6116">
        <w:rPr>
          <w:rFonts w:cs="Arial"/>
          <w:sz w:val="22"/>
          <w:lang w:val="en-GB"/>
        </w:rPr>
        <w:t>the interaction between the cation and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. Here, we summarize our earlier </w:t>
      </w:r>
      <w:r w:rsidRPr="001E6116">
        <w:rPr>
          <w:rFonts w:eastAsiaTheme="minorEastAsia" w:cs="Arial"/>
          <w:sz w:val="22"/>
          <w:lang w:val="en-GB" w:eastAsia="ja-JP"/>
        </w:rPr>
        <w:t xml:space="preserve">and recent </w:t>
      </w:r>
      <w:r w:rsidRPr="001E6116">
        <w:rPr>
          <w:rFonts w:cs="Arial"/>
          <w:sz w:val="22"/>
          <w:lang w:val="en-GB"/>
        </w:rPr>
        <w:t xml:space="preserve">studies </w:t>
      </w:r>
      <w:r w:rsidRPr="001E6116">
        <w:rPr>
          <w:rFonts w:eastAsiaTheme="minorEastAsia" w:cs="Arial"/>
          <w:sz w:val="22"/>
          <w:lang w:val="en-GB" w:eastAsia="ja-JP"/>
        </w:rPr>
        <w:t xml:space="preserve">on </w:t>
      </w:r>
      <w:r w:rsidRPr="001E6116">
        <w:rPr>
          <w:rFonts w:cs="Arial"/>
          <w:sz w:val="22"/>
          <w:lang w:val="en-GB"/>
        </w:rPr>
        <w:t>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absorption </w:t>
      </w:r>
      <w:proofErr w:type="spellStart"/>
      <w:r w:rsidRPr="001E6116">
        <w:rPr>
          <w:rFonts w:cs="Arial"/>
          <w:sz w:val="22"/>
          <w:lang w:val="en-GB"/>
        </w:rPr>
        <w:t>behaviors</w:t>
      </w:r>
      <w:proofErr w:type="spellEnd"/>
      <w:r w:rsidRPr="001E6116">
        <w:rPr>
          <w:rFonts w:cs="Arial"/>
          <w:sz w:val="22"/>
          <w:lang w:val="en-GB"/>
        </w:rPr>
        <w:t xml:space="preserve"> in the physical and chemical </w:t>
      </w:r>
      <w:r w:rsidRPr="001E6116">
        <w:rPr>
          <w:rFonts w:eastAsiaTheme="minorEastAsia" w:cs="Arial"/>
          <w:sz w:val="22"/>
          <w:lang w:val="en-GB" w:eastAsia="ja-JP"/>
        </w:rPr>
        <w:t xml:space="preserve">IL </w:t>
      </w:r>
      <w:r w:rsidRPr="001E6116">
        <w:rPr>
          <w:rFonts w:cs="Arial"/>
          <w:sz w:val="22"/>
          <w:lang w:val="en-GB"/>
        </w:rPr>
        <w:t xml:space="preserve">absorbents under high pressure conditions. </w:t>
      </w:r>
      <w:r w:rsidRPr="001E6116">
        <w:rPr>
          <w:rFonts w:eastAsiaTheme="minorEastAsia" w:cs="Arial"/>
          <w:sz w:val="22"/>
          <w:lang w:val="en-GB" w:eastAsia="ja-JP"/>
        </w:rPr>
        <w:t xml:space="preserve">For </w:t>
      </w:r>
      <w:r w:rsidRPr="001E6116">
        <w:rPr>
          <w:rFonts w:cs="Arial"/>
          <w:sz w:val="22"/>
          <w:lang w:val="en-GB"/>
        </w:rPr>
        <w:t>the physical absorbents</w:t>
      </w:r>
      <w:r w:rsidRPr="001E6116">
        <w:rPr>
          <w:rFonts w:eastAsiaTheme="minorEastAsia" w:cs="Arial"/>
          <w:sz w:val="22"/>
          <w:lang w:val="en-GB" w:eastAsia="ja-JP"/>
        </w:rPr>
        <w:t>, the cations</w:t>
      </w:r>
      <w:r w:rsidRPr="001E6116">
        <w:rPr>
          <w:rFonts w:cs="Arial"/>
          <w:sz w:val="22"/>
          <w:lang w:val="en-GB"/>
        </w:rPr>
        <w:t xml:space="preserve"> were </w:t>
      </w:r>
      <w:proofErr w:type="spellStart"/>
      <w:r w:rsidRPr="001E6116">
        <w:rPr>
          <w:rFonts w:cs="Arial"/>
          <w:sz w:val="22"/>
          <w:lang w:val="en-GB"/>
        </w:rPr>
        <w:t>imidazoliums</w:t>
      </w:r>
      <w:proofErr w:type="spellEnd"/>
      <w:r w:rsidRPr="001E6116">
        <w:rPr>
          <w:rFonts w:cs="Arial"/>
          <w:sz w:val="22"/>
          <w:lang w:val="en-GB"/>
        </w:rPr>
        <w:t xml:space="preserve">, phosphoniums, ammoniums, and </w:t>
      </w:r>
      <w:proofErr w:type="spellStart"/>
      <w:r w:rsidRPr="001E6116">
        <w:rPr>
          <w:rFonts w:cs="Arial"/>
          <w:sz w:val="22"/>
          <w:lang w:val="en-GB"/>
        </w:rPr>
        <w:t>amidiniums</w:t>
      </w:r>
      <w:proofErr w:type="spellEnd"/>
      <w:r w:rsidRPr="001E6116">
        <w:rPr>
          <w:rFonts w:eastAsiaTheme="minorEastAsia" w:cs="Arial"/>
          <w:sz w:val="22"/>
          <w:lang w:val="en-GB" w:eastAsia="ja-JP"/>
        </w:rPr>
        <w:t>,</w:t>
      </w:r>
      <w:r w:rsidRPr="001E6116">
        <w:rPr>
          <w:rFonts w:cs="Arial"/>
          <w:sz w:val="22"/>
          <w:lang w:val="en-GB"/>
        </w:rPr>
        <w:t xml:space="preserve"> and </w:t>
      </w:r>
      <w:r w:rsidRPr="001E6116">
        <w:rPr>
          <w:rFonts w:eastAsiaTheme="minorEastAsia" w:cs="Arial"/>
          <w:sz w:val="22"/>
          <w:lang w:val="en-GB" w:eastAsia="ja-JP"/>
        </w:rPr>
        <w:t xml:space="preserve">the </w:t>
      </w:r>
      <w:r w:rsidRPr="001E6116">
        <w:rPr>
          <w:rFonts w:cs="Arial"/>
          <w:sz w:val="22"/>
          <w:lang w:val="en-GB"/>
        </w:rPr>
        <w:t xml:space="preserve">anions were amides, borates, </w:t>
      </w:r>
      <w:proofErr w:type="spellStart"/>
      <w:r w:rsidRPr="001E6116">
        <w:rPr>
          <w:rFonts w:cs="Arial"/>
          <w:sz w:val="22"/>
          <w:lang w:val="en-GB"/>
        </w:rPr>
        <w:t>sulfates</w:t>
      </w:r>
      <w:proofErr w:type="spellEnd"/>
      <w:r w:rsidRPr="001E6116">
        <w:rPr>
          <w:rFonts w:cs="Arial"/>
          <w:sz w:val="22"/>
          <w:lang w:val="en-GB"/>
        </w:rPr>
        <w:t xml:space="preserve">, and sulfonates. The chemical absorbents were the carboxylate and amino acid salts with the </w:t>
      </w:r>
      <w:proofErr w:type="spellStart"/>
      <w:r w:rsidRPr="001E6116">
        <w:rPr>
          <w:rFonts w:cs="Arial"/>
          <w:sz w:val="22"/>
          <w:lang w:val="en-GB"/>
        </w:rPr>
        <w:t>dialkylimidazolium</w:t>
      </w:r>
      <w:proofErr w:type="spellEnd"/>
      <w:r w:rsidRPr="001E6116">
        <w:rPr>
          <w:rFonts w:cs="Arial"/>
          <w:sz w:val="22"/>
          <w:lang w:val="en-GB"/>
        </w:rPr>
        <w:t xml:space="preserve"> and </w:t>
      </w:r>
      <w:proofErr w:type="spellStart"/>
      <w:r w:rsidRPr="001E6116">
        <w:rPr>
          <w:rFonts w:cs="Arial"/>
          <w:sz w:val="22"/>
          <w:lang w:val="en-GB"/>
        </w:rPr>
        <w:t>tetraalkylphosphonium</w:t>
      </w:r>
      <w:proofErr w:type="spellEnd"/>
      <w:r w:rsidRPr="001E6116">
        <w:rPr>
          <w:rFonts w:cs="Arial"/>
          <w:sz w:val="22"/>
          <w:lang w:val="en-GB"/>
        </w:rPr>
        <w:t xml:space="preserve"> cations. We discuss the effect of chemical modifications on the CO</w:t>
      </w:r>
      <w:r w:rsidRPr="001E6116">
        <w:rPr>
          <w:rFonts w:cs="Arial"/>
          <w:sz w:val="22"/>
          <w:vertAlign w:val="subscript"/>
          <w:lang w:val="en-GB"/>
        </w:rPr>
        <w:t>2</w:t>
      </w:r>
      <w:r w:rsidRPr="001E6116">
        <w:rPr>
          <w:rFonts w:cs="Arial"/>
          <w:sz w:val="22"/>
          <w:lang w:val="en-GB"/>
        </w:rPr>
        <w:t xml:space="preserve"> </w:t>
      </w:r>
      <w:proofErr w:type="spellStart"/>
      <w:r w:rsidRPr="001E6116">
        <w:rPr>
          <w:rFonts w:cs="Arial"/>
          <w:sz w:val="22"/>
          <w:lang w:val="en-GB"/>
        </w:rPr>
        <w:t>physi</w:t>
      </w:r>
      <w:r w:rsidRPr="001E6116">
        <w:rPr>
          <w:rFonts w:eastAsiaTheme="minorEastAsia" w:cs="Arial"/>
          <w:sz w:val="22"/>
          <w:lang w:val="en-GB" w:eastAsia="ja-JP"/>
        </w:rPr>
        <w:t>sorptions</w:t>
      </w:r>
      <w:proofErr w:type="spellEnd"/>
      <w:r w:rsidRPr="001E6116">
        <w:rPr>
          <w:rFonts w:cs="Arial"/>
          <w:sz w:val="22"/>
          <w:lang w:val="en-GB"/>
        </w:rPr>
        <w:t xml:space="preserve"> and </w:t>
      </w:r>
      <w:proofErr w:type="spellStart"/>
      <w:r w:rsidRPr="001E6116">
        <w:rPr>
          <w:rFonts w:cs="Arial"/>
          <w:sz w:val="22"/>
          <w:lang w:val="en-GB"/>
        </w:rPr>
        <w:t>chemisorptions</w:t>
      </w:r>
      <w:proofErr w:type="spellEnd"/>
      <w:r w:rsidRPr="001E6116">
        <w:rPr>
          <w:rFonts w:cs="Arial"/>
          <w:sz w:val="22"/>
          <w:lang w:val="en-GB"/>
        </w:rPr>
        <w:t xml:space="preserve"> based on the </w:t>
      </w:r>
      <w:proofErr w:type="spellStart"/>
      <w:r w:rsidRPr="001E6116">
        <w:rPr>
          <w:rFonts w:cs="Arial"/>
          <w:i/>
          <w:sz w:val="22"/>
          <w:lang w:val="en-GB"/>
        </w:rPr>
        <w:t>pVTx</w:t>
      </w:r>
      <w:proofErr w:type="spellEnd"/>
      <w:r w:rsidRPr="001E6116">
        <w:rPr>
          <w:rFonts w:cs="Arial"/>
          <w:sz w:val="22"/>
          <w:lang w:val="en-GB"/>
        </w:rPr>
        <w:t xml:space="preserve"> relations and the </w:t>
      </w:r>
      <w:r w:rsidRPr="001E6116">
        <w:rPr>
          <w:rFonts w:eastAsiaTheme="minorEastAsia" w:cs="Arial"/>
          <w:sz w:val="22"/>
          <w:lang w:val="en-GB" w:eastAsia="ja-JP"/>
        </w:rPr>
        <w:t xml:space="preserve">derived </w:t>
      </w:r>
      <w:r w:rsidRPr="001E6116">
        <w:rPr>
          <w:rFonts w:cs="Arial"/>
          <w:sz w:val="22"/>
          <w:lang w:val="en-GB"/>
        </w:rPr>
        <w:t>thermodynamic parameters of solution.</w:t>
      </w:r>
    </w:p>
    <w:p w14:paraId="19120B86" w14:textId="77777777" w:rsidR="004E207D" w:rsidRPr="001E6116" w:rsidRDefault="004E207D" w:rsidP="004E207D">
      <w:pPr>
        <w:spacing w:line="240" w:lineRule="auto"/>
        <w:jc w:val="both"/>
        <w:rPr>
          <w:rFonts w:cs="Arial"/>
          <w:sz w:val="22"/>
          <w:lang w:val="en-GB"/>
        </w:rPr>
      </w:pPr>
    </w:p>
    <w:p w14:paraId="6450CB33" w14:textId="77777777" w:rsidR="004E207D" w:rsidRPr="00BF2D71" w:rsidRDefault="004E207D" w:rsidP="004E207D">
      <w:pPr>
        <w:tabs>
          <w:tab w:val="left" w:pos="426"/>
        </w:tabs>
        <w:spacing w:line="240" w:lineRule="auto"/>
        <w:rPr>
          <w:b/>
          <w:sz w:val="22"/>
          <w:lang w:val="fr-FR"/>
        </w:rPr>
      </w:pPr>
      <w:proofErr w:type="spellStart"/>
      <w:r w:rsidRPr="00BF2D71">
        <w:rPr>
          <w:b/>
          <w:sz w:val="22"/>
          <w:lang w:val="fr-FR"/>
        </w:rPr>
        <w:t>References</w:t>
      </w:r>
      <w:proofErr w:type="spellEnd"/>
    </w:p>
    <w:p w14:paraId="0A905439" w14:textId="77777777" w:rsidR="004E207D" w:rsidRPr="00BF2D71" w:rsidRDefault="004E207D" w:rsidP="004E207D">
      <w:pPr>
        <w:spacing w:line="240" w:lineRule="auto"/>
        <w:ind w:left="340" w:hanging="340"/>
        <w:jc w:val="both"/>
        <w:rPr>
          <w:rFonts w:cs="Arial"/>
          <w:sz w:val="22"/>
          <w:lang w:val="fr-FR"/>
        </w:rPr>
      </w:pPr>
      <w:r w:rsidRPr="00BF2D71">
        <w:rPr>
          <w:rFonts w:cs="Arial"/>
          <w:sz w:val="22"/>
          <w:lang w:val="fr-FR"/>
        </w:rPr>
        <w:t>[1]</w:t>
      </w:r>
      <w:r w:rsidRPr="00BF2D71">
        <w:rPr>
          <w:rFonts w:cs="Arial"/>
          <w:sz w:val="22"/>
          <w:lang w:val="fr-FR"/>
        </w:rPr>
        <w:tab/>
        <w:t xml:space="preserve">L.A. Blanchard </w:t>
      </w:r>
      <w:r w:rsidRPr="009B6B94">
        <w:rPr>
          <w:rFonts w:cs="Arial"/>
          <w:i/>
          <w:sz w:val="22"/>
          <w:lang w:val="fr-FR"/>
        </w:rPr>
        <w:t>et al.</w:t>
      </w:r>
      <w:r w:rsidRPr="00BF2D71">
        <w:rPr>
          <w:rFonts w:cs="Arial"/>
          <w:sz w:val="22"/>
          <w:lang w:val="fr-FR"/>
        </w:rPr>
        <w:t xml:space="preserve">, </w:t>
      </w:r>
      <w:r w:rsidRPr="00BF2D71">
        <w:rPr>
          <w:rFonts w:cs="Arial"/>
          <w:i/>
          <w:sz w:val="22"/>
          <w:lang w:val="fr-FR"/>
        </w:rPr>
        <w:t>Nature</w:t>
      </w:r>
      <w:r w:rsidRPr="00BF2D71">
        <w:rPr>
          <w:rFonts w:cs="Arial"/>
          <w:sz w:val="22"/>
          <w:lang w:val="fr-FR"/>
        </w:rPr>
        <w:t xml:space="preserve"> </w:t>
      </w:r>
      <w:r w:rsidRPr="00BF2D71">
        <w:rPr>
          <w:rFonts w:cs="Arial"/>
          <w:b/>
          <w:sz w:val="22"/>
          <w:lang w:val="fr-FR"/>
        </w:rPr>
        <w:t>399</w:t>
      </w:r>
      <w:r w:rsidRPr="00BF2D71">
        <w:rPr>
          <w:rFonts w:cs="Arial"/>
          <w:sz w:val="22"/>
          <w:lang w:val="fr-FR"/>
        </w:rPr>
        <w:t>, 28-29 (1999).</w:t>
      </w:r>
    </w:p>
    <w:p w14:paraId="5DFBC960" w14:textId="77777777" w:rsidR="004E207D" w:rsidRPr="001E6116" w:rsidRDefault="004E207D" w:rsidP="004E207D">
      <w:pPr>
        <w:spacing w:line="240" w:lineRule="auto"/>
        <w:ind w:left="340" w:hanging="340"/>
        <w:rPr>
          <w:rFonts w:cs="Arial"/>
          <w:sz w:val="22"/>
          <w:lang w:val="en-GB"/>
        </w:rPr>
      </w:pPr>
      <w:r w:rsidRPr="001E6116">
        <w:rPr>
          <w:rFonts w:cs="Arial"/>
          <w:sz w:val="22"/>
          <w:lang w:val="en-GB"/>
        </w:rPr>
        <w:t>[2]</w:t>
      </w:r>
      <w:r w:rsidRPr="001E6116">
        <w:rPr>
          <w:rFonts w:cs="Arial"/>
          <w:sz w:val="22"/>
          <w:lang w:val="en-GB"/>
        </w:rPr>
        <w:tab/>
        <w:t xml:space="preserve">For example, D. Kodama </w:t>
      </w:r>
      <w:r w:rsidRPr="009B6B94">
        <w:rPr>
          <w:rFonts w:cs="Arial"/>
          <w:i/>
          <w:sz w:val="22"/>
          <w:lang w:val="en-GB"/>
        </w:rPr>
        <w:t>et al.</w:t>
      </w:r>
      <w:r w:rsidRPr="001E6116">
        <w:rPr>
          <w:rFonts w:cs="Arial"/>
          <w:sz w:val="22"/>
          <w:lang w:val="en-GB"/>
        </w:rPr>
        <w:t xml:space="preserve">, </w:t>
      </w:r>
      <w:r w:rsidRPr="001E6116">
        <w:rPr>
          <w:rFonts w:cs="Arial"/>
          <w:i/>
          <w:iCs/>
          <w:sz w:val="22"/>
          <w:lang w:val="en-GB"/>
        </w:rPr>
        <w:t xml:space="preserve">J. </w:t>
      </w:r>
      <w:proofErr w:type="spellStart"/>
      <w:r w:rsidRPr="001E6116">
        <w:rPr>
          <w:rFonts w:cs="Arial"/>
          <w:i/>
          <w:iCs/>
          <w:sz w:val="22"/>
          <w:lang w:val="en-GB"/>
        </w:rPr>
        <w:t>Supercrit</w:t>
      </w:r>
      <w:proofErr w:type="spellEnd"/>
      <w:r w:rsidRPr="001E6116">
        <w:rPr>
          <w:rFonts w:cs="Arial"/>
          <w:i/>
          <w:iCs/>
          <w:sz w:val="22"/>
          <w:lang w:val="en-GB"/>
        </w:rPr>
        <w:t xml:space="preserve">. Fluids </w:t>
      </w:r>
      <w:r w:rsidRPr="001E6116">
        <w:rPr>
          <w:rFonts w:cs="Arial"/>
          <w:b/>
          <w:sz w:val="22"/>
          <w:lang w:val="en-GB"/>
        </w:rPr>
        <w:t>52</w:t>
      </w:r>
      <w:r w:rsidRPr="001E6116">
        <w:rPr>
          <w:rFonts w:cs="Arial"/>
          <w:sz w:val="22"/>
          <w:lang w:val="en-GB"/>
        </w:rPr>
        <w:t xml:space="preserve">, 189-192 (2010); T. Makino </w:t>
      </w:r>
      <w:r w:rsidRPr="009B6B94">
        <w:rPr>
          <w:rFonts w:cs="Arial"/>
          <w:i/>
          <w:sz w:val="22"/>
          <w:lang w:val="en-GB"/>
        </w:rPr>
        <w:t>et al.</w:t>
      </w:r>
      <w:r w:rsidRPr="001E6116">
        <w:rPr>
          <w:rFonts w:cs="Arial"/>
          <w:sz w:val="22"/>
          <w:lang w:val="en-GB"/>
        </w:rPr>
        <w:t xml:space="preserve">, </w:t>
      </w:r>
      <w:r w:rsidRPr="001E6116">
        <w:rPr>
          <w:rFonts w:cs="Arial"/>
          <w:i/>
          <w:sz w:val="22"/>
          <w:lang w:val="en-GB"/>
        </w:rPr>
        <w:t xml:space="preserve">Fluid Phase </w:t>
      </w:r>
      <w:proofErr w:type="spellStart"/>
      <w:r w:rsidRPr="001E6116">
        <w:rPr>
          <w:rFonts w:cs="Arial"/>
          <w:i/>
          <w:sz w:val="22"/>
          <w:lang w:val="en-GB"/>
        </w:rPr>
        <w:t>Equilib</w:t>
      </w:r>
      <w:proofErr w:type="spellEnd"/>
      <w:r w:rsidRPr="001E6116">
        <w:rPr>
          <w:rFonts w:cs="Arial"/>
          <w:i/>
          <w:sz w:val="22"/>
          <w:lang w:val="en-GB"/>
        </w:rPr>
        <w:t>.</w:t>
      </w:r>
      <w:r w:rsidRPr="001E6116">
        <w:rPr>
          <w:rFonts w:cs="Arial"/>
          <w:sz w:val="22"/>
          <w:lang w:val="en-GB"/>
        </w:rPr>
        <w:t xml:space="preserve"> </w:t>
      </w:r>
      <w:r w:rsidRPr="001E6116">
        <w:rPr>
          <w:rFonts w:cs="Arial"/>
          <w:b/>
          <w:sz w:val="22"/>
          <w:lang w:val="en-GB"/>
        </w:rPr>
        <w:t>357</w:t>
      </w:r>
      <w:r w:rsidRPr="001E6116">
        <w:rPr>
          <w:rFonts w:cs="Arial"/>
          <w:sz w:val="22"/>
          <w:lang w:val="en-GB"/>
        </w:rPr>
        <w:t xml:space="preserve">, 64-70 (2013); T. Makino </w:t>
      </w:r>
      <w:r w:rsidRPr="009B6B94">
        <w:rPr>
          <w:rFonts w:cs="Arial"/>
          <w:i/>
          <w:sz w:val="22"/>
          <w:lang w:val="en-GB"/>
        </w:rPr>
        <w:t>et al.</w:t>
      </w:r>
      <w:r w:rsidRPr="001E6116">
        <w:rPr>
          <w:rFonts w:cs="Arial"/>
          <w:sz w:val="22"/>
          <w:lang w:val="en-GB"/>
        </w:rPr>
        <w:t xml:space="preserve">, </w:t>
      </w:r>
      <w:r w:rsidRPr="001E6116">
        <w:rPr>
          <w:rFonts w:cs="Arial"/>
          <w:i/>
          <w:sz w:val="22"/>
          <w:lang w:val="en-GB"/>
        </w:rPr>
        <w:t xml:space="preserve">Fluid Phase </w:t>
      </w:r>
      <w:proofErr w:type="spellStart"/>
      <w:r w:rsidRPr="001E6116">
        <w:rPr>
          <w:rFonts w:cs="Arial"/>
          <w:i/>
          <w:sz w:val="22"/>
          <w:lang w:val="en-GB"/>
        </w:rPr>
        <w:t>Equilib</w:t>
      </w:r>
      <w:proofErr w:type="spellEnd"/>
      <w:r w:rsidRPr="001E6116">
        <w:rPr>
          <w:rFonts w:cs="Arial"/>
          <w:i/>
          <w:sz w:val="22"/>
          <w:lang w:val="en-GB"/>
        </w:rPr>
        <w:t>.</w:t>
      </w:r>
      <w:r w:rsidRPr="001E6116">
        <w:rPr>
          <w:rFonts w:cs="Arial"/>
          <w:sz w:val="22"/>
          <w:lang w:val="en-GB"/>
        </w:rPr>
        <w:t xml:space="preserve"> </w:t>
      </w:r>
      <w:r w:rsidRPr="001E6116">
        <w:rPr>
          <w:rFonts w:cs="Arial"/>
          <w:b/>
          <w:sz w:val="22"/>
          <w:lang w:val="en-GB"/>
        </w:rPr>
        <w:t>362</w:t>
      </w:r>
      <w:r w:rsidRPr="001E6116">
        <w:rPr>
          <w:rFonts w:cs="Arial"/>
          <w:sz w:val="22"/>
          <w:lang w:val="en-GB"/>
        </w:rPr>
        <w:t xml:space="preserve">, 300-306 (2014); T. Makino </w:t>
      </w:r>
      <w:r w:rsidRPr="009B6B94">
        <w:rPr>
          <w:rFonts w:cs="Arial"/>
          <w:i/>
          <w:sz w:val="22"/>
          <w:lang w:val="en-GB"/>
        </w:rPr>
        <w:t>et al.</w:t>
      </w:r>
      <w:r w:rsidRPr="001E6116">
        <w:rPr>
          <w:rFonts w:cs="Arial"/>
          <w:sz w:val="22"/>
          <w:lang w:val="en-GB"/>
        </w:rPr>
        <w:t xml:space="preserve">, </w:t>
      </w:r>
      <w:r w:rsidRPr="001E6116">
        <w:rPr>
          <w:rFonts w:cs="Arial"/>
          <w:i/>
          <w:sz w:val="22"/>
          <w:lang w:val="en-GB"/>
        </w:rPr>
        <w:t>J. Chem. Eng. Data</w:t>
      </w:r>
      <w:r w:rsidRPr="001E6116">
        <w:rPr>
          <w:rFonts w:cs="Arial"/>
          <w:sz w:val="22"/>
          <w:lang w:val="en-GB"/>
        </w:rPr>
        <w:t xml:space="preserve"> </w:t>
      </w:r>
      <w:r w:rsidRPr="001E6116">
        <w:rPr>
          <w:rFonts w:cs="Arial"/>
          <w:b/>
          <w:sz w:val="22"/>
          <w:lang w:val="en-GB"/>
        </w:rPr>
        <w:t>59</w:t>
      </w:r>
      <w:r w:rsidRPr="001E6116">
        <w:rPr>
          <w:rFonts w:cs="Arial"/>
          <w:sz w:val="22"/>
          <w:lang w:val="en-GB"/>
        </w:rPr>
        <w:t xml:space="preserve">, 1435-1440 (2014); M. </w:t>
      </w:r>
      <w:proofErr w:type="spellStart"/>
      <w:r w:rsidRPr="001E6116">
        <w:rPr>
          <w:rFonts w:cs="Arial"/>
          <w:sz w:val="22"/>
          <w:lang w:val="en-GB"/>
        </w:rPr>
        <w:t>Kanakubo</w:t>
      </w:r>
      <w:proofErr w:type="spellEnd"/>
      <w:r w:rsidRPr="001E6116">
        <w:rPr>
          <w:rFonts w:cs="Arial"/>
          <w:sz w:val="22"/>
          <w:lang w:val="en-GB"/>
        </w:rPr>
        <w:t xml:space="preserve"> </w:t>
      </w:r>
      <w:r w:rsidRPr="009B6B94">
        <w:rPr>
          <w:rFonts w:cs="Arial"/>
          <w:i/>
          <w:sz w:val="22"/>
          <w:lang w:val="en-GB"/>
        </w:rPr>
        <w:t>et al.</w:t>
      </w:r>
      <w:r w:rsidRPr="001E6116">
        <w:rPr>
          <w:rFonts w:cs="Arial"/>
          <w:sz w:val="22"/>
          <w:lang w:val="en-GB"/>
        </w:rPr>
        <w:t xml:space="preserve">, </w:t>
      </w:r>
      <w:r w:rsidRPr="001E6116">
        <w:rPr>
          <w:rFonts w:cs="Arial"/>
          <w:i/>
          <w:iCs/>
          <w:sz w:val="22"/>
          <w:lang w:val="en-GB"/>
        </w:rPr>
        <w:t>ACS Sustainable Chem. Eng.</w:t>
      </w:r>
      <w:r w:rsidRPr="001E6116">
        <w:rPr>
          <w:rFonts w:cs="Arial"/>
          <w:sz w:val="22"/>
          <w:lang w:val="en-GB"/>
        </w:rPr>
        <w:t xml:space="preserve"> </w:t>
      </w:r>
      <w:r w:rsidRPr="001E6116">
        <w:rPr>
          <w:rFonts w:cs="Arial"/>
          <w:b/>
          <w:sz w:val="22"/>
          <w:lang w:val="en-GB"/>
        </w:rPr>
        <w:t>4</w:t>
      </w:r>
      <w:r w:rsidRPr="001E6116">
        <w:rPr>
          <w:rFonts w:cs="Arial"/>
          <w:sz w:val="22"/>
          <w:lang w:val="en-GB"/>
        </w:rPr>
        <w:t>, 525-535 (2016).</w:t>
      </w:r>
    </w:p>
    <w:p w14:paraId="1F694A55" w14:textId="77777777" w:rsidR="004E207D" w:rsidRPr="001E6116" w:rsidRDefault="004E207D" w:rsidP="004E207D">
      <w:pPr>
        <w:spacing w:line="240" w:lineRule="auto"/>
        <w:jc w:val="both"/>
        <w:rPr>
          <w:rFonts w:cs="Arial"/>
          <w:sz w:val="22"/>
          <w:lang w:val="en-GB"/>
        </w:rPr>
      </w:pPr>
    </w:p>
    <w:p w14:paraId="25556C48" w14:textId="77777777" w:rsidR="004E207D" w:rsidRPr="001E6116" w:rsidRDefault="004E207D" w:rsidP="004E207D">
      <w:pPr>
        <w:tabs>
          <w:tab w:val="left" w:pos="426"/>
        </w:tabs>
        <w:spacing w:line="240" w:lineRule="auto"/>
        <w:rPr>
          <w:b/>
          <w:sz w:val="22"/>
          <w:lang w:val="en-GB"/>
        </w:rPr>
      </w:pPr>
      <w:r w:rsidRPr="001E6116">
        <w:rPr>
          <w:b/>
          <w:sz w:val="22"/>
          <w:lang w:val="en-GB"/>
        </w:rPr>
        <w:t>Acknowledgements</w:t>
      </w:r>
    </w:p>
    <w:p w14:paraId="5927D1FC" w14:textId="77777777" w:rsidR="004E207D" w:rsidRPr="001E6116" w:rsidRDefault="004E207D" w:rsidP="004E207D">
      <w:pPr>
        <w:spacing w:line="240" w:lineRule="auto"/>
        <w:jc w:val="both"/>
        <w:rPr>
          <w:b/>
          <w:sz w:val="22"/>
          <w:lang w:val="en-GB"/>
        </w:rPr>
      </w:pPr>
      <w:r w:rsidRPr="001E6116">
        <w:rPr>
          <w:sz w:val="22"/>
          <w:lang w:val="en-GB" w:eastAsia="zh-CN"/>
        </w:rPr>
        <w:t xml:space="preserve">The authors would thank to Ms. Eriko </w:t>
      </w:r>
      <w:proofErr w:type="spellStart"/>
      <w:r w:rsidRPr="001E6116">
        <w:rPr>
          <w:sz w:val="22"/>
          <w:lang w:val="en-GB" w:eastAsia="zh-CN"/>
        </w:rPr>
        <w:t>Niitsuma</w:t>
      </w:r>
      <w:proofErr w:type="spellEnd"/>
      <w:r w:rsidRPr="001E6116">
        <w:rPr>
          <w:sz w:val="22"/>
          <w:lang w:val="en-GB" w:eastAsia="zh-CN"/>
        </w:rPr>
        <w:t xml:space="preserve">, Mr. </w:t>
      </w:r>
      <w:proofErr w:type="spellStart"/>
      <w:r w:rsidRPr="001E6116">
        <w:rPr>
          <w:sz w:val="22"/>
          <w:lang w:val="en-GB" w:eastAsia="zh-CN"/>
        </w:rPr>
        <w:t>Atsuhiro</w:t>
      </w:r>
      <w:proofErr w:type="spellEnd"/>
      <w:r w:rsidRPr="001E6116">
        <w:rPr>
          <w:sz w:val="22"/>
          <w:lang w:val="en-GB" w:eastAsia="zh-CN"/>
        </w:rPr>
        <w:t xml:space="preserve"> </w:t>
      </w:r>
      <w:proofErr w:type="spellStart"/>
      <w:r w:rsidRPr="001E6116">
        <w:rPr>
          <w:sz w:val="22"/>
          <w:lang w:val="en-GB" w:eastAsia="zh-CN"/>
        </w:rPr>
        <w:t>Oguni</w:t>
      </w:r>
      <w:proofErr w:type="spellEnd"/>
      <w:r w:rsidRPr="001E6116">
        <w:rPr>
          <w:sz w:val="22"/>
          <w:lang w:val="en-GB" w:eastAsia="zh-CN"/>
        </w:rPr>
        <w:t xml:space="preserve">, and Ms. Kaori Takeshita for </w:t>
      </w:r>
      <w:r w:rsidRPr="001E6116">
        <w:rPr>
          <w:rFonts w:eastAsiaTheme="minorEastAsia"/>
          <w:sz w:val="22"/>
          <w:lang w:val="en-GB" w:eastAsia="ja-JP"/>
        </w:rPr>
        <w:t>their</w:t>
      </w:r>
      <w:r w:rsidRPr="001E6116">
        <w:rPr>
          <w:sz w:val="22"/>
          <w:lang w:val="en-GB" w:eastAsia="zh-CN"/>
        </w:rPr>
        <w:t xml:space="preserve"> assistance with the measurements in the present study.</w:t>
      </w:r>
    </w:p>
    <w:p w14:paraId="67AF837E" w14:textId="77777777" w:rsidR="00495CE3" w:rsidRPr="004E207D" w:rsidRDefault="00495CE3" w:rsidP="004E207D">
      <w:pPr>
        <w:spacing w:after="200" w:line="276" w:lineRule="auto"/>
        <w:rPr>
          <w:sz w:val="22"/>
          <w:lang w:val="en-GB"/>
        </w:rPr>
      </w:pPr>
    </w:p>
    <w:sectPr w:rsidR="00495CE3" w:rsidRPr="004E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D0ED" w14:textId="77777777" w:rsidR="00E41049" w:rsidRDefault="00E41049" w:rsidP="004E207D">
      <w:pPr>
        <w:spacing w:line="240" w:lineRule="auto"/>
      </w:pPr>
      <w:r>
        <w:separator/>
      </w:r>
    </w:p>
  </w:endnote>
  <w:endnote w:type="continuationSeparator" w:id="0">
    <w:p w14:paraId="722A6165" w14:textId="77777777" w:rsidR="00E41049" w:rsidRDefault="00E41049" w:rsidP="004E2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F69A" w14:textId="77777777" w:rsidR="00E41049" w:rsidRDefault="00E41049" w:rsidP="004E207D">
      <w:pPr>
        <w:spacing w:line="240" w:lineRule="auto"/>
      </w:pPr>
      <w:r>
        <w:separator/>
      </w:r>
    </w:p>
  </w:footnote>
  <w:footnote w:type="continuationSeparator" w:id="0">
    <w:p w14:paraId="760D9DCA" w14:textId="77777777" w:rsidR="00E41049" w:rsidRDefault="00E41049" w:rsidP="004E20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7D"/>
    <w:rsid w:val="000B385A"/>
    <w:rsid w:val="00495CE3"/>
    <w:rsid w:val="004E207D"/>
    <w:rsid w:val="00530A09"/>
    <w:rsid w:val="0065543C"/>
    <w:rsid w:val="00903A20"/>
    <w:rsid w:val="009F56BF"/>
    <w:rsid w:val="00E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64A8"/>
  <w15:docId w15:val="{CC559D77-860C-4148-AE49-586CD21C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7D"/>
    <w:pPr>
      <w:spacing w:after="0" w:line="312" w:lineRule="auto"/>
    </w:pPr>
    <w:rPr>
      <w:rFonts w:ascii="Times New Roman" w:hAnsi="Times New Roman"/>
      <w:color w:val="00000A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7D"/>
    <w:rPr>
      <w:rFonts w:ascii="Times New Roman" w:hAnsi="Times New Roman"/>
      <w:color w:val="00000A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0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7D"/>
    <w:rPr>
      <w:rFonts w:ascii="Times New Roman" w:hAnsi="Times New Roman"/>
      <w:color w:val="00000A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7D"/>
    <w:rPr>
      <w:rFonts w:ascii="Tahoma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Montserrat</dc:creator>
  <cp:lastModifiedBy>Montserrat Filella</cp:lastModifiedBy>
  <cp:revision>4</cp:revision>
  <cp:lastPrinted>2018-12-10T17:54:00Z</cp:lastPrinted>
  <dcterms:created xsi:type="dcterms:W3CDTF">2022-01-18T18:04:00Z</dcterms:created>
  <dcterms:modified xsi:type="dcterms:W3CDTF">2022-01-18T18:08:00Z</dcterms:modified>
</cp:coreProperties>
</file>