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A202C"/>
          <w:sz w:val="24"/>
          <w:szCs w:val="24"/>
        </w:rPr>
        <w:t xml:space="preserve">RÉPUBLIQUE DU SÉNÉGAL</w:t>
      </w:r>
    </w:p>
    <w:p>
      <w:pPr>
        <w:spacing w:after="60" w:before="60"/>
        <w:jc w:val="center"/>
      </w:pPr>
      <w:r>
        <w:rPr>
          <w:b/>
          <w:bCs/>
          <w:color w:val="1B5E20"/>
          <w:sz w:val="26"/>
          <w:szCs w:val="26"/>
        </w:rPr>
        <w:t xml:space="preserve">UNIVERSITÉ GASTON BERGER DE SAINT-LOUIS (UGB)</w:t>
      </w:r>
    </w:p>
    <w:p>
      <w:pPr>
        <w:spacing w:after="300" w:before="60"/>
        <w:jc w:val="center"/>
      </w:pPr>
      <w:r>
        <w:rPr>
          <w:b w:val="false"/>
          <w:bCs w:val="false"/>
          <w:color w:val="4A5568"/>
          <w:sz w:val="22"/>
          <w:szCs w:val="22"/>
        </w:rPr>
        <w:t xml:space="preserve">UFR des Sciences Appliquées et de Technologie (UFR SAT)
Département Informatique</w:t>
      </w:r>
    </w:p>
    <w:p>
      <w:pPr>
        <w:spacing w:after="100" w:before="300"/>
        <w:jc w:val="center"/>
      </w:pPr>
      <w:r>
        <w:rPr>
          <w:b/>
          <w:bCs/>
          <w:color w:val="1B5E20"/>
          <w:sz w:val="36"/>
          <w:szCs w:val="36"/>
        </w:rPr>
        <w:t xml:space="preserve">RAPPORT DE PROJET PRATIQUE</w:t>
      </w:r>
    </w:p>
    <w:p>
      <w:pPr>
        <w:spacing w:after="200" w:before="60"/>
        <w:jc w:val="center"/>
      </w:pPr>
      <w:r>
        <w:rPr>
          <w:b/>
          <w:bCs/>
          <w:color w:val="2D3748"/>
          <w:sz w:val="26"/>
          <w:szCs w:val="26"/>
        </w:rPr>
        <w:t xml:space="preserve">DÉVELOPPEMENT D'APPLICATIONS MULTI-TIERS</w:t>
      </w:r>
    </w:p>
    <w:p>
      <w:pPr>
        <w:spacing w:after="400" w:before="100"/>
        <w:jc w:val="center"/>
      </w:pPr>
      <w:r>
        <w:rPr>
          <w:i/>
          <w:iCs/>
          <w:color w:val="2E7D32"/>
          <w:sz w:val="24"/>
          <w:szCs w:val="24"/>
        </w:rPr>
        <w:t xml:space="preserve">Sujet : Conception et Développement d'une Application Web de Gestion des Projets Tutorés (« UniProjet »)</w:t>
      </w:r>
    </w:p>
    <w:p>
      <w:pPr>
        <w:spacing w:after="100" w:before="400"/>
        <w:jc w:val="center"/>
      </w:pPr>
      <w:r>
        <w:rPr>
          <w:b/>
          <w:bCs/>
          <w:color w:val="1A202C"/>
          <w:sz w:val="22"/>
          <w:szCs w:val="22"/>
        </w:rPr>
        <w:t xml:space="preserve">Filière : Master 2 Génie du Développement Informatique et Logiciel (GDIL)</w:t>
      </w:r>
    </w:p>
    <w:p>
      <w:pPr>
        <w:spacing w:after="60" w:before="60"/>
        <w:jc w:val="center"/>
      </w:pPr>
      <w:r>
        <w:rPr>
          <w:color w:val="4A5568"/>
          <w:sz w:val="22"/>
          <w:szCs w:val="22"/>
        </w:rPr>
        <w:t xml:space="preserve">Session Académique : 2024 - 2025</w:t>
      </w:r>
    </w:p>
    <w:p>
      <w:pPr>
        <w:spacing w:after="500" w:before="60"/>
        <w:jc w:val="center"/>
      </w:pPr>
      <w:r>
        <w:rPr>
          <w:i/>
          <w:iCs/>
          <w:color w:val="718096"/>
          <w:sz w:val="20"/>
          <w:szCs w:val="20"/>
        </w:rPr>
        <w:t xml:space="preserve">Cadre d'évaluation : Évaluation sommative sur plateforme logicielle de bout en bout</w:t>
      </w:r>
    </w:p>
    <w:p>
      <w:r>
        <w:br w:type="page"/>
      </w:r>
    </w:p>
    <w:p>
      <w:pPr>
        <w:pStyle w:val="Heading1"/>
        <w:spacing w:after="140" w:before="360"/>
      </w:pPr>
      <w:r>
        <w:t xml:space="preserve">Fiche Synthétique &amp; Résumé Exécutif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Ce rapport technique formalise la conception, la modélisation et la réalisation logicielle complète de la plateforme web académique UniProjet, dédiée à la gestion intégrale du cycle de vie des projets tutorés au sein de l'Université Gaston Berger (UGB).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Conformément au cahier des charges du Master 2 GDIL, la solution respecte rigoureusement une séparation stricte des couches dans le cadre d'une architecture multi-tiers (3-Tiers)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Couche Présentation (Frontend) : Application Single Page (SPA) développée sous le framework Angular, s'appuyant sur des composants autonomes (Standalone Components), Bootstrap 5, un design épuré, réactif et adapté aux différents rôles.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Couche Logique Métier (Backend) : API RESTful JSON articulée autour du framework Spring Boot 3 et de services applicatifs garantissant les règles d'intégrité métier (unicité de candidature, contrôle des quotas d'encadrement, arbitrage collégial).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Couche Persistance (Données) : Mapping objet-relationnel fondé sur Spring Data JPA et Hibernate, adossé à un système de gestion de base de données relationnelle MySQL normalisé.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Sécurité &amp; Authentification : Mécanisme de hachage de mot de passe renforcé par PBKDF2 avec sel cryptographique aléatoire de 128 bits et 65 536 itérations, doublé d'un contrôle d'accès basé sur les rôles (RBAC).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Mots-clés : Architecture 3-Tiers, Angular, Spring Boot 3, Spring Data JPA, REST API, PBKDF2, Projets Tutorés, Arbitrage Pédagogique, UGB Saint-Louis.</w:t>
      </w:r>
    </w:p>
    <w:p>
      <w:pPr>
        <w:pStyle w:val="Heading1"/>
        <w:spacing w:after="140" w:before="360"/>
      </w:pPr>
      <w:r>
        <w:t xml:space="preserve">Chapitre 1 : Analyse des Besoins et Spécifications Fonctionnelles</w:t>
      </w:r>
    </w:p>
    <w:p>
      <w:pPr>
        <w:pStyle w:val="Heading2"/>
        <w:spacing w:after="100" w:before="240"/>
      </w:pPr>
      <w:r>
        <w:t xml:space="preserve">1.1 Contexte et Problématique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Chaque année universitaire, l'organisation des projets tutorés représente une charge administrative et pédagogique considérable pour le département informatique. Les démarches traditionnelles (formulaires papier, échanges d'e-mails dispersés, fichiers tableurs non synchronisés) engendrent de multiples difficultés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Perte d'informations et redondance des dépôts de sujets par les enseignants-chercheurs.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Opacité dans le suivi des candidatures et sentiments d'arbitraire chez les étudiants.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Dépassement involontaire des quotas d'encadrement par laboratoire ou encadrant.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Complexité extrême pour la Commission Pédagogique lors de la phase d'arbitrage et d'affectation définitive des binômes.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L'application UniProjet répond à cette problématique en fournissant une solution unifiée, collaborative, réactive et sécurisée.</w:t>
      </w:r>
    </w:p>
    <w:p>
      <w:pPr>
        <w:pStyle w:val="Heading2"/>
        <w:spacing w:after="100" w:before="240"/>
      </w:pPr>
      <w:r>
        <w:t xml:space="preserve">1.2 Identification des Acteurs et Rôles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système identifie quatre acteurs fondamentaux avec des périmètres fonctionnels distincts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Responsabilités et Actions Clés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ETUDIANT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Étudiant inscrit en M2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Consulter le catalogue des sujets disponibles, postuler avec vœu motivé, suivre l'état de validation de ses candidatures, consulter son affectation finale.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ENSEIGNANT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Enseignant-Chercheur / Tuteur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Proposer de nouveaux sujets de recherche/développement, éditer ou retirer ses sujets, consulter les dossiers des candidats et émettre un avis d'encadrement.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RESPONSABLE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Responsable Pédagogique / Commission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Consulter l'ensemble des vœux, arbitrer collégialement les candidatures (Accepter / Rejeter), veiller au strict respect des quotas et affecter définitivement les étudiants.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ADMIN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Administrateur Système / ENT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Gérer l'annuaire des étudiants et enseignants, superviser la campagne, configurer les sessions universitaires et auditer les accès système.</w:t>
            </w:r>
          </w:p>
        </w:tc>
      </w:tr>
    </w:tbl>
    <w:p>
      <w:pPr>
        <w:pStyle w:val="Heading2"/>
        <w:spacing w:after="100" w:before="240"/>
      </w:pPr>
      <w:r>
        <w:t xml:space="preserve">1.3 Règles Métier Obligatoires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Pour satisfaire les exigences formelles énoncées dans le sujet pratique, la couche métier du backend implémente cinq règles de gestion cardinales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1. </w:t>
      </w:r>
      <w:r>
        <w:rPr>
          <w:color w:val="2D3748"/>
          <w:sz w:val="22"/>
          <w:szCs w:val="22"/>
        </w:rPr>
        <w:t xml:space="preserve">Règle RM-01 (Candidature unique) : Un étudiant ne peut postuler qu'une seule fois à un même sujet de projet tutoré. Toute tentative de doublon déclenche une exception HTTP 400 (Bad Request).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2. </w:t>
      </w:r>
      <w:r>
        <w:rPr>
          <w:color w:val="2D3748"/>
          <w:sz w:val="22"/>
          <w:szCs w:val="22"/>
        </w:rPr>
        <w:t xml:space="preserve">Règle RM-02 (Disponibilité stricte) : Seuls les sujets dont le statut est explicitement 'DISPONIBLE' peuvent recevoir de nouvelles candidatures. Un sujet marqué 'COMPLET' est verrouillé.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3. </w:t>
      </w:r>
      <w:r>
        <w:rPr>
          <w:color w:val="2D3748"/>
          <w:sz w:val="22"/>
          <w:szCs w:val="22"/>
        </w:rPr>
        <w:t xml:space="preserve">Règle RM-03 (Machine à états des candidatures) : Toute nouvelle candidature naît au statut 'EN_ATTENTE'. Seul le responsable pédagogique peut la faire transiter vers 'ACCEPTEE' ou 'REJETEE'.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4. </w:t>
      </w:r>
      <w:r>
        <w:rPr>
          <w:color w:val="2D3748"/>
          <w:sz w:val="22"/>
          <w:szCs w:val="22"/>
        </w:rPr>
        <w:t xml:space="preserve">Règle RM-04 (Plafond de capacité d'accueil) : Chaque sujet définit une capacité maximale d'accueil (ex: 2 à 3 étudiants). Dès que le nombre de candidatures acceptées atteint ce plafond, le sujet passe automatiquement en statut 'COMPLET'.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5. </w:t>
      </w:r>
      <w:r>
        <w:rPr>
          <w:color w:val="2D3748"/>
          <w:sz w:val="22"/>
          <w:szCs w:val="22"/>
        </w:rPr>
        <w:t xml:space="preserve">Règle RM-05 (Affectation définitive automatique) : Lorsqu'une candidature est acceptée par la commission, une instance d'affectation officielle est automatiquement créée et liée à l'étudiant et au sujet.</w:t>
      </w:r>
    </w:p>
    <w:p>
      <w:pPr>
        <w:pStyle w:val="Heading1"/>
        <w:spacing w:after="140" w:before="360"/>
      </w:pPr>
      <w:r>
        <w:t xml:space="preserve">Chapitre 2 : Architecture Multi-Tiers et Conception Technique</w:t>
      </w:r>
    </w:p>
    <w:p>
      <w:pPr>
        <w:pStyle w:val="Heading2"/>
        <w:spacing w:after="100" w:before="240"/>
      </w:pPr>
      <w:r>
        <w:t xml:space="preserve">2.1 Vue d'Ensemble de l'Architecture 3-Tiers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L'architecture retenue répond aux standards industriels du génie logiciel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Tier 1 - Niveau Présentation (Client Web) : Développé avec Angular (mode Standalone Components). Il consomme les points de terminaison REST du backend de manière asynchrone via HttpClient (avec fetch). Aucune logique métier critique n'est exécutée côté client.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Tier 2 - Niveau Applicatif et Métier (Serveur REST) : Conçu avec Spring Boot 3. Les contrôleurs REST (@RestController) réceptionnent les requêtes JSON, les valident, et délèguent le traitement aux services métier (@Service). Les transactions et règles de cohérence sont protégées par @Transactional.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Tier 3 - Niveau Persistance (Base de Données) : Assuré par Spring Data JPA et Hibernate, dialoguant avec une base MySQL via JDBC. Les entités gèrent les relations d'héritage et d'association avec intégrité référentielle stricte.</w:t>
      </w:r>
    </w:p>
    <w:p>
      <w:pPr>
        <w:pStyle w:val="Heading2"/>
        <w:spacing w:after="100" w:before="240"/>
      </w:pPr>
      <w:r>
        <w:t xml:space="preserve">2.2 Modèle Conceptuel et Diagramme de Classes UML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modèle objet a été conçu pour refléter fidèlement le domaine universitaire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Utilisateur (Classe abstraite / Entité racine) : Identifiant, nom, prénom, email universitaire unique, mot de passe hashé, rôle (RoleUtilisateur).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Etudiant (Hérite d'Utilisateur) : Numéro étudiant (ex: 22104981), promotion, liste de ses candidatures et affectations.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Enseignant (Hérite d'Utilisateur) : Grade/Titre, département, laboratoire de recherche (ex: LIRIS, CRAN), quota d'encadrement, sujets proposés.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ResponsablePedagogique (Hérite d'Utilisateur) : Département rattaché, habilitation d'arbitrage de session.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Administrateur (Hérite d'Utilisateur) : Direction informatique, droits de maintenance et configuration globale.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Sujet : Titre, description détaillée, mots-clés technologiques, capacité maximale, statut (DISPONIBLE, COMPLET, ARCHIVE), référence vers l'enseignant encadrant et la session universitaire.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Candidature : Références vers l'étudiant et le sujet visé, date de dépôt, lettre de motivation, statut (EN_ATTENTE, ACCEPTEE, REJETEE), avis de l'encadrant.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Affectation : Matérialise l'affectation finale validée par le jury, date d'affectation, statut et session associée.</w:t>
      </w:r>
    </w:p>
    <w:p>
      <w:pPr>
        <w:pStyle w:val="Heading2"/>
        <w:spacing w:after="100" w:before="240"/>
      </w:pPr>
      <w:r>
        <w:t xml:space="preserve">2.3 Conception des Points de Terminaison de l'API RESTful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L'ensemble des échanges entre le frontend Angular et le backend Spring Boot s'effectue au format JSON selon les conventions REST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 REST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Règles Associées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/api/utilisateurs/connexion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Authentification de l'utilisateur par email/mot de passe avec vérification PBKDF2.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/api/utilisateurs/inscription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Création d'un nouveau compte (étudiant ou enseignant) avec détection de rôle.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/api/sujets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Récupération de la liste de tous les sujets de projets tutorés.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/api/sujets/disponibles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Récupération des sujets ouverts aux candidatures (capacité restante &gt; 0).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/api/sujets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Création d'un nouveau sujet de projet tutoré par un enseignant.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PUT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/api/sujets/{id}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Modification d'un sujet (titre, description, capacité, statut).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DELETE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/api/sujets/{id}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Suppression d'un sujet de projet tutoré.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/api/candidatures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Consultation de toutes les candidatures pour arbitrage.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/api/candidatures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Dépôt d'une candidature par un étudiant (vérification candidature unique).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PUT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/api/candidatures/{id}/statut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Mise à jour du statut (arbitrage : ACCEPTEE ou REJETEE) et calcul des quotas.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/api/affectations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Consultation du registre synthétique des affectations confirmées.</w:t>
            </w:r>
          </w:p>
        </w:tc>
      </w:tr>
    </w:tbl>
    <w:p>
      <w:pPr>
        <w:pStyle w:val="Heading2"/>
        <w:spacing w:after="100" w:before="240"/>
      </w:pPr>
      <w:r>
        <w:t xml:space="preserve">2.4 Architecture de Sécurité et Chiffrement PBKDF2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Contrairement aux implémentations simplistes qui stockent les mots de passe en clair ou avec des fonctions de hachage obsolètes (MD5, SHA-1), UniProjet intègre la classe SecuriteUtilitaire qui implémente la norme PBKDF2 (Password-Based Key Derivation Function 2)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Algorithme sous-jacent : PBKDF2WithHmacSHA256.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Sel cryptographique : Sel pseudo-aléatoire de 16 octets (128 bits) généré via SecureRandom pour chaque mot de passe.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Facteur d'itération : 65 536 tours de hachage, rendant toute attaque par dictionnaire ou table arc-en-ciel inopérante.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Format de stockage : 'sel_base64:hash_base64', permettant une vérification sécurisée lors de la tentative de connexion.</w:t>
      </w:r>
    </w:p>
    <w:p>
      <w:pPr>
        <w:pStyle w:val="Heading1"/>
        <w:spacing w:after="140" w:before="360"/>
      </w:pPr>
      <w:r>
        <w:t xml:space="preserve">Chapitre 3 : Réalisation et Implémentation Logicielle</w:t>
      </w:r>
    </w:p>
    <w:p>
      <w:pPr>
        <w:pStyle w:val="Heading2"/>
        <w:spacing w:after="100" w:before="240"/>
      </w:pPr>
      <w:r>
        <w:t xml:space="preserve">3.1 Backend Spring Boot 3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backend est structuré selon les meilleures pratiques du développement Java d'entreprise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Couche Repository : Interfaces étendant JpaRepository&lt;T, ID&gt;, bénéficiant de requêtes dérivées et de méthodes optimisées.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Couche Service : Services transactionnels (@Service) encapsulant toutes les vérifications de cohérence métier avant persistance.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Gestionnaire Global d'Exceptions : Un composant @ControllerAdvice (GlobalExceptionHandler) intercepte les IllegalArgumentException et retourne un message d'erreur clair avec le code HTTP 400 Bad Request.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Initialisation Automatique : Le composant DataInitializer alimente automatiquement la base de données au démarrage avec des comptes réalistes du domaine sénégalais de l'UGB (@ugb.edu.sn).</w:t>
      </w:r>
    </w:p>
    <w:p>
      <w:pPr>
        <w:pStyle w:val="Heading2"/>
        <w:spacing w:after="100" w:before="240"/>
      </w:pPr>
      <w:r>
        <w:t xml:space="preserve">3.2 Frontend Angular Standalone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L'interface utilisateur a été développée en adoptant les dernières normes Angular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Composants Standalone : Suppression des anciens NgModules au profit de composants autonomes hautement modulaires et légers.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Sidebar Dynamique et Contextuelle : Le composant de navigation latérale inspecte en temps réel le profil de l'utilisateur connecté via AuthService pour afficher uniquement les liens autorisés, et intègre un bouton de déconnexion direct.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Header Universitaire : Affiche le nom de l'utilisateur connecté, son badge de rôle et un raccourci de session.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Formulaires Réactifs : Les formulaires d'inscription, de proposition de sujet et de candidature intègrent des validateurs stricts.</w:t>
      </w:r>
    </w:p>
    <w:p>
      <w:pPr>
        <w:pStyle w:val="Heading1"/>
        <w:spacing w:after="140" w:before="360"/>
      </w:pPr>
      <w:r>
        <w:t xml:space="preserve">Chapitre 4 : Preuves Visuelles des Travaux Réalisés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Conformément aux directives d'évaluation privilégiant le fonctionnement de bout en bout et les preuves visuelles, ce chapitre présente les captures d'écran commentées des interfaces opérationnelles développées.</w:t>
      </w:r>
    </w:p>
    <w:p>
      <w:pPr>
        <w:pStyle w:val="Heading2"/>
        <w:spacing w:after="100" w:before="240"/>
      </w:pPr>
      <w:r>
        <w:t xml:space="preserve">4.1 Espace Étudiant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L'espace étudiant offre une expérience fluide permettant d'explorer les offres académiques, de postuler et de suivre ses affectations.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4.1 : </w:t>
      </w:r>
      <w:r>
        <w:rPr>
          <w:i/>
          <w:iCs/>
          <w:color w:val="4A5568"/>
          <w:sz w:val="19"/>
          <w:szCs w:val="19"/>
        </w:rPr>
        <w:t xml:space="preserve">Tableau de bord de l'étudiant connecté avec indicateurs de synthèse et flux des dernières offres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tableau de bord étudiant affiche en temps réel : le nombre de sujets disponibles (24), le nombre de candidatures déposées (3) et les candidatures acceptées (1), ainsi que les dernières parutions de sujets.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429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4.2 : </w:t>
      </w:r>
      <w:r>
        <w:rPr>
          <w:i/>
          <w:iCs/>
          <w:color w:val="4A5568"/>
          <w:sz w:val="19"/>
          <w:szCs w:val="19"/>
        </w:rPr>
        <w:t xml:space="preserve">Catalogue dynamique des sujets de projets tutorés avec recherche temps réel et badges de disponibilité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catalogue présente les fiches de sujets proposées par les enseignants, la date limite de soumission des vœux, les quotas restants et un accès direct au détail pour postuler.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1432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4.3 : </w:t>
      </w:r>
      <w:r>
        <w:rPr>
          <w:i/>
          <w:iCs/>
          <w:color w:val="4A5568"/>
          <w:sz w:val="19"/>
          <w:szCs w:val="19"/>
        </w:rPr>
        <w:t xml:space="preserve">Interface de consultation et de suivi des candidatures étudiantes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Cette vue permet à l'étudiant de suivre l'état de chacun de ses vœux : EN_ATTENTE (jaune), ACCEPTEE (vert) ou REJETEE (rouge), garantissant une totale transparence.</w:t>
      </w:r>
    </w:p>
    <w:p>
      <w:pPr>
        <w:pStyle w:val="Heading2"/>
        <w:spacing w:after="100" w:before="240"/>
      </w:pPr>
      <w:r>
        <w:t xml:space="preserve">4.2 Espace Enseignant / Encadrant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L'enseignant dispose d'outils complets pour déposer ses propositions de projets, définir les capacités d'accueil et examiner les dossiers des étudiants intéressés.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953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4.4 : </w:t>
      </w:r>
      <w:r>
        <w:rPr>
          <w:i/>
          <w:iCs/>
          <w:color w:val="4A5568"/>
          <w:sz w:val="19"/>
          <w:szCs w:val="19"/>
        </w:rPr>
        <w:t xml:space="preserve">Tableau de bord Enseignant : indicateurs de charge pédagogique, places ouvertes et candidatures reçues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tableau de bord permet à l'enseignant de visualiser la saturation de ses sujets (ex: 8 places au total, 6 dossiers reçus) et d'accéder rapidement au traitement des candidats.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5238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4.5 : </w:t>
      </w:r>
      <w:r>
        <w:rPr>
          <w:i/>
          <w:iCs/>
          <w:color w:val="4A5568"/>
          <w:sz w:val="19"/>
          <w:szCs w:val="19"/>
        </w:rPr>
        <w:t xml:space="preserve">Gestion des sujets proposés et formulaire d'édition / création de sujet de projet tutoré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L'enseignant peut formuler un titre, une description détaillée, spécifier la capacité maximale en nombre d'étudiants (ex: 2 ou 3) et basculer l'état entre 'Disponible' et 'Complet'.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238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4.6 : </w:t>
      </w:r>
      <w:r>
        <w:rPr>
          <w:i/>
          <w:iCs/>
          <w:color w:val="4A5568"/>
          <w:sz w:val="19"/>
          <w:szCs w:val="19"/>
        </w:rPr>
        <w:t xml:space="preserve">Consultation des candidatures reçues et émission de l'avis pédagogique par l'enseignant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L'enseignant analyse chaque candidature déposée sur ses sujets et transmet son avis motivé à la Commission Pédagogique.</w:t>
      </w:r>
    </w:p>
    <w:p>
      <w:pPr>
        <w:pStyle w:val="Heading2"/>
        <w:spacing w:after="100" w:before="240"/>
      </w:pPr>
      <w:r>
        <w:t xml:space="preserve">4.3 Espace Responsable Pédagogique &amp; Commission d'Arbitrage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responsable pédagogique détient le rôle clé de régulation pour affecter équitablement les étudiants sans saturer les capacités d'encadrement.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095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4.7 : </w:t>
      </w:r>
      <w:r>
        <w:rPr>
          <w:i/>
          <w:iCs/>
          <w:color w:val="4A5568"/>
          <w:sz w:val="19"/>
          <w:szCs w:val="19"/>
        </w:rPr>
        <w:t xml:space="preserve">Tableau de bord de la Commission Pédagogique d'arbitrage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Synthèse des dossiers déposés (42), dossiers en attente d'arbitrage (5), affectations déjà validées (28) et candidatures réorientées (9).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0005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4.8 : </w:t>
      </w:r>
      <w:r>
        <w:rPr>
          <w:i/>
          <w:iCs/>
          <w:color w:val="4A5568"/>
          <w:sz w:val="19"/>
          <w:szCs w:val="19"/>
        </w:rPr>
        <w:t xml:space="preserve">Module interactif de traitement des vœux et d'arbitrage des affectations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L'interface d'arbitrage permet à la commission d'examiner le dossier du candidat avec l'avis de l'encadrant, puis de cliquer sur 'Accepter' ou 'Rejeter'. L'acceptation contrôle immédiatement la capacité maximale du sujet.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5334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4.9 : </w:t>
      </w:r>
      <w:r>
        <w:rPr>
          <w:i/>
          <w:iCs/>
          <w:color w:val="4A5568"/>
          <w:sz w:val="19"/>
          <w:szCs w:val="19"/>
        </w:rPr>
        <w:t xml:space="preserve">Registre synthétique des affectations et suivi des capacités d'accueil par laboratoire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Vue consolidée récapitulant les binômes constitués, le taux de remplissage des capacités par laboratoire (LIRIS, CRAN, etc.) et permettant l'exportation des listes officielles.</w:t>
      </w:r>
    </w:p>
    <w:p>
      <w:pPr>
        <w:pStyle w:val="Heading2"/>
        <w:spacing w:after="100" w:before="240"/>
      </w:pPr>
      <w:r>
        <w:t xml:space="preserve">4.4 Espace Administration Système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L'administrateur assure le pilotage transverse de la plateforme et la gestion des comptes académiques.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0957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4.10 : </w:t>
      </w:r>
      <w:r>
        <w:rPr>
          <w:i/>
          <w:iCs/>
          <w:color w:val="4A5568"/>
          <w:sz w:val="19"/>
          <w:szCs w:val="19"/>
        </w:rPr>
        <w:t xml:space="preserve">Tableau de bord Administrateur : supervision générale de la promotion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Surveillance du nombre total d'étudiants inscrits (142), d'encadrants mobilisés (24) et du volume global de vœux enregistrés.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7625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4.11 : </w:t>
      </w:r>
      <w:r>
        <w:rPr>
          <w:i/>
          <w:iCs/>
          <w:color w:val="4A5568"/>
          <w:sz w:val="19"/>
          <w:szCs w:val="19"/>
        </w:rPr>
        <w:t xml:space="preserve">Annuaire de gestion des étudiants, inscription et suivi des comptes ENT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Gestion des profils étudiants, vérification de l'état des comptes ENT et importation éventuelle de listes CSV.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6672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/>
        <w:jc w:val="center"/>
      </w:pPr>
      <w:r>
        <w:rPr>
          <w:b/>
          <w:bCs/>
          <w:i/>
          <w:iCs/>
          <w:color w:val="1B5E20"/>
          <w:sz w:val="19"/>
          <w:szCs w:val="19"/>
        </w:rPr>
        <w:t xml:space="preserve">Figure 4.12 : </w:t>
      </w:r>
      <w:r>
        <w:rPr>
          <w:i/>
          <w:iCs/>
          <w:color w:val="4A5568"/>
          <w:sz w:val="19"/>
          <w:szCs w:val="19"/>
        </w:rPr>
        <w:t xml:space="preserve">Annuaire et gestion des enseignants-chercheurs et répartition des quotas d'encadrement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Suivi des capacités d'encadrement mobilisées par département et laboratoire, facilitant l'équilibrage de la charge d'enseignement.</w:t>
      </w:r>
    </w:p>
    <w:p>
      <w:pPr>
        <w:pStyle w:val="Heading1"/>
        <w:spacing w:after="140" w:before="360"/>
      </w:pPr>
      <w:r>
        <w:t xml:space="preserve">Chapitre 5 : Validation, Tests et Déploiement</w:t>
      </w:r>
    </w:p>
    <w:p>
      <w:pPr>
        <w:pStyle w:val="Heading2"/>
        <w:spacing w:after="100" w:before="240"/>
      </w:pPr>
      <w:r>
        <w:t xml:space="preserve">5.1 Scénarios de Test de Bout en Bout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Pour valider la robustesse de l'application, une campagne de tests fonctionnels et d'intégration a été conduite de bout en bout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 Test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Scénario de Test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Comportement Attendu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Résultat Observé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T-01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Connexion avec identifiants UGB valides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Génération de la session, redirection vers le tableau de bord approprié avec sidebar adaptée.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(200 OK)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T-02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Tentative de connexion avec mot de passe erroné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Refus immédiat avec code HTTP 401 Unauthorized et message explicite.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(401)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T-03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Création de compte étudiant via /inscription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Création dans la table utilisateur et etudiant, hachage PBKDF2 du mot de passe.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(201 Created)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T-04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Proposition d'un sujet par un enseignant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Persistance en base MySQL avec statut DISPONIBLE et capacité configurée.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(200 OK)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T-05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Dépôt d'une première candidature par un étudiant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Création de la candidature au statut EN_ATTENTE.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(200 OK)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T-06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Tentative de seconde candidature sur le même sujet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Détection de doublon, rejet strict avec HTTP 400 Bad Request (Règle RM-01).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(400 Conforme)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T-07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Arbitrage positif par le Responsable Pédagogique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Passage du statut à ACCEPTEE, création de l'Affectation, décrément de la capacité restante.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(200 OK)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T-08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Saturation de la capacité maximale d'un sujet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Le sujet bascule automatiquement au statut COMPLET et n'accepte plus de nouveaux vœux.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(Règle validée)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T-09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Déconnexion sécurisée via le bouton de la sidebar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Suppression du token de session dans le localStorage et redirection vers la page d'accueil.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SUCCÈS (Interface nettoyée)</w:t>
            </w:r>
          </w:p>
        </w:tc>
      </w:tr>
    </w:tbl>
    <w:p>
      <w:pPr>
        <w:pStyle w:val="Heading2"/>
        <w:spacing w:after="100" w:before="240"/>
      </w:pPr>
      <w:r>
        <w:t xml:space="preserve">5.2 Comptes de Démonstration Pré-configurés (UGB)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Afin de permettre une évaluation immédiate par les membres du jury, le système est pré-chargé avec les comptes de test suivants (mot de passe universel : Passer123!)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 et Prénom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Adresse Email Académique UGB</w:t>
            </w:r>
          </w:p>
        </w:tc>
        <w:tc>
          <w:tcPr>
            <w:shd w:fill="1B5E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Matricule / Profil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ADMIN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Ndiaye Cheikh Tidiane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cheikh-tidiane.ndiaye@ugb.edu.sn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Direction Informatique / ENT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RESPONSABLE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Dr. Sow Aminata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aminata.sow@ugb.edu.sn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Responsable Pédagogique M2 GDIL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ENSEIGNANT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Pr. Diop Moussa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moussa.diop@ugb.edu.sn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ENS-UGB-042 - Informatique UFR SAT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ETUDIANT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Touré Mamadou Alpha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toure.mamadou-alpha@ugb.edu.sn</w:t>
            </w:r>
          </w:p>
        </w:tc>
        <w:tc>
          <w:tcPr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P300001 - M2 Génie Informatique</w:t>
            </w:r>
          </w:p>
        </w:tc>
      </w:tr>
      <w:tr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ETUDIANT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Ndiaye Fatou Marie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ndiaye.fatou-marie@ugb.edu.sn</w:t>
            </w:r>
          </w:p>
        </w:tc>
        <w:tc>
          <w:tcPr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color w:val="2D3748"/>
                <w:sz w:val="19"/>
                <w:szCs w:val="19"/>
              </w:rPr>
              <w:t xml:space="preserve">P310045 - M2 Génie Informatique</w:t>
            </w:r>
          </w:p>
        </w:tc>
      </w:tr>
    </w:tbl>
    <w:p>
      <w:pPr>
        <w:pStyle w:val="Heading1"/>
        <w:spacing w:after="140" w:before="360"/>
      </w:pPr>
      <w:r>
        <w:t xml:space="preserve">Conclusion Générale et Perspectives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Le projet pratique de développement d'applications multi-tiers a permis de concevoir et d'implémenter intégralement la solution UniProjet. Toutes les exigences fonctionnelles et architecturales formulées dans le cadre du Master 2 GDIL ont été menées à bien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Séparation rigoureuse et démontrée entre la couche présentation (Angular), la logique métier (Spring Boot Services) et la persistance des données (Spring Data JPA / MySQL).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Respect strict des règles métier académiques (unicité des candidatures, gestion automatisée des capacités et quotas d'accueil).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Sécurisation robuste des authentifications par sel cryptographique et hachage PBKDF2.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• </w:t>
      </w:r>
      <w:r>
        <w:rPr>
          <w:color w:val="2D3748"/>
          <w:sz w:val="22"/>
          <w:szCs w:val="22"/>
        </w:rPr>
        <w:t xml:space="preserve">Expérience utilisateur intuitive avec navigation dynamique selon le profil connecté et déconnexion sécurisée.</w:t>
      </w:r>
    </w:p>
    <w:p>
      <w:pPr>
        <w:spacing w:after="100" w:before="60" w:line="276"/>
        <w:jc w:val="both"/>
      </w:pPr>
      <w:r>
        <w:rPr>
          <w:b w:val="false"/>
          <w:bCs w:val="false"/>
          <w:i w:val="false"/>
          <w:iCs w:val="false"/>
          <w:color w:val="2D3748"/>
          <w:sz w:val="22"/>
          <w:szCs w:val="22"/>
        </w:rPr>
        <w:t xml:space="preserve">En perspective, ce projet pourrait évoluer vers :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1. </w:t>
      </w:r>
      <w:r>
        <w:rPr>
          <w:color w:val="2D3748"/>
          <w:sz w:val="22"/>
          <w:szCs w:val="22"/>
        </w:rPr>
        <w:t xml:space="preserve">La génération automatisée et la signature électronique des Procès-Verbaux officiels d'affectation au format PDF.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2. </w:t>
      </w:r>
      <w:r>
        <w:rPr>
          <w:color w:val="2D3748"/>
          <w:sz w:val="22"/>
          <w:szCs w:val="22"/>
        </w:rPr>
        <w:t xml:space="preserve">L'intégration d'un système de notifications instantanées par WebSockets ou push e-mail lors des décisions d'arbitrage.</w:t>
      </w:r>
    </w:p>
    <w:p>
      <w:pPr>
        <w:pStyle w:val="ListParagraph"/>
        <w:numPr>
          <w:ilvl w:val="0"/>
          <w:numId w:val="1"/>
        </w:numPr>
        <w:spacing w:after="60" w:before="40" w:line="260"/>
      </w:pPr>
      <w:r>
        <w:rPr>
          <w:b/>
          <w:bCs/>
          <w:color w:val="1A202C"/>
          <w:sz w:val="22"/>
          <w:szCs w:val="22"/>
        </w:rPr>
        <w:t xml:space="preserve">3. </w:t>
      </w:r>
      <w:r>
        <w:rPr>
          <w:color w:val="2D3748"/>
          <w:sz w:val="22"/>
          <w:szCs w:val="22"/>
        </w:rPr>
        <w:t xml:space="preserve">La conteneurisation intégrale sous Docker et le déploiement orchestré via Kubernetes sur un cluster universitaire.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 xml:space="preserve">PAGE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/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 xml:space="preserve">NUMPAGES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Master 2 GDIL — Projet Pratique Multi-Tiers : UniProjet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978a6bf68c42648e5a5dbe2d4b356a50f56e15a.undefined"/><Relationship Id="rId10" Type="http://schemas.openxmlformats.org/officeDocument/2006/relationships/image" Target="media/9b3a0cc8f31200240aedb23e473458d9117b811e.undefined"/><Relationship Id="rId11" Type="http://schemas.openxmlformats.org/officeDocument/2006/relationships/image" Target="media/2faf2a7c392356f779ef4710e5db0fff491fd23e.undefined"/><Relationship Id="rId12" Type="http://schemas.openxmlformats.org/officeDocument/2006/relationships/image" Target="media/25879494a4bbd0c06edacc8fe0b2075346c6eaec.undefined"/><Relationship Id="rId13" Type="http://schemas.openxmlformats.org/officeDocument/2006/relationships/image" Target="media/6dc07724c9821376936e2bb1b408f472450e364a.undefined"/><Relationship Id="rId14" Type="http://schemas.openxmlformats.org/officeDocument/2006/relationships/image" Target="media/3b2043622c7642178bac8ea98a2a0e57ba1b2c3e.undefined"/><Relationship Id="rId15" Type="http://schemas.openxmlformats.org/officeDocument/2006/relationships/image" Target="media/2fba94a2fd099ea591bf6f861fc127678845f379.undefined"/><Relationship Id="rId16" Type="http://schemas.openxmlformats.org/officeDocument/2006/relationships/image" Target="media/763156435ded9c81728b8ddff8f7cdee7ad093e1.undefined"/><Relationship Id="rId17" Type="http://schemas.openxmlformats.org/officeDocument/2006/relationships/image" Target="media/21ccf133e3f6a5d4b23bff1973fbde3e9b7e83c1.undefined"/><Relationship Id="rId18" Type="http://schemas.openxmlformats.org/officeDocument/2006/relationships/image" Target="media/e637a663a9dba698cef38c69753f72691e7f3594.undefined"/><Relationship Id="rId19" Type="http://schemas.openxmlformats.org/officeDocument/2006/relationships/image" Target="media/9518d1976a5d1fbf7f96dcb24788d3142dc2990a.undefined"/><Relationship Id="rId20" Type="http://schemas.openxmlformats.org/officeDocument/2006/relationships/image" Target="media/bbd358ab504bf1358140d9a694daec391d13960c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2026-10-19T16:00:51.627Z</dcterms:created>
  <dcterms:modified xsi:type="dcterms:W3CDTF">2026-10-19T16:00:51.628Z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