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E495D" w14:textId="6CBE3F46" w:rsidR="00E25697" w:rsidRPr="00E25697" w:rsidRDefault="00E25697" w:rsidP="00E25697">
      <w:pPr>
        <w:rPr>
          <w:b/>
          <w:bCs/>
        </w:rPr>
      </w:pPr>
      <w:r w:rsidRPr="00E25697">
        <w:rPr>
          <w:b/>
          <w:bCs/>
        </w:rPr>
        <w:t>FICHA TÉCNICA AMPLIADA (</w:t>
      </w:r>
      <w:proofErr w:type="gramStart"/>
      <w:r w:rsidRPr="00E25697">
        <w:rPr>
          <w:b/>
          <w:bCs/>
        </w:rPr>
        <w:t>Marzo</w:t>
      </w:r>
      <w:proofErr w:type="gramEnd"/>
      <w:r w:rsidRPr="00E25697">
        <w:rPr>
          <w:b/>
          <w:bCs/>
        </w:rPr>
        <w:t xml:space="preserve"> 2026)</w:t>
      </w:r>
    </w:p>
    <w:p w14:paraId="19D90CF5" w14:textId="77777777" w:rsidR="00EB474A" w:rsidRDefault="00E25697" w:rsidP="00EB474A">
      <w:pPr>
        <w:pStyle w:val="Prrafodelista"/>
        <w:numPr>
          <w:ilvl w:val="0"/>
          <w:numId w:val="1"/>
        </w:numPr>
      </w:pPr>
      <w:r w:rsidRPr="00EB474A">
        <w:rPr>
          <w:b/>
          <w:bCs/>
        </w:rPr>
        <w:t>Persona jurídica que realizó el estudio:</w:t>
      </w:r>
      <w:r w:rsidRPr="00E25697">
        <w:t> GAD3 Colombia S.A.S.</w:t>
      </w:r>
    </w:p>
    <w:p w14:paraId="35511BF9" w14:textId="31BC24B5" w:rsidR="00E25697" w:rsidRDefault="00E25697" w:rsidP="00EB474A">
      <w:pPr>
        <w:pStyle w:val="Prrafodelista"/>
        <w:numPr>
          <w:ilvl w:val="0"/>
          <w:numId w:val="1"/>
        </w:numPr>
      </w:pPr>
      <w:r w:rsidRPr="00EB474A">
        <w:rPr>
          <w:b/>
          <w:bCs/>
        </w:rPr>
        <w:t>Persona jurídica que encomendó y financió el estudio:</w:t>
      </w:r>
      <w:r w:rsidRPr="00E25697">
        <w:t> RCN Televisión S.A.</w:t>
      </w:r>
    </w:p>
    <w:p w14:paraId="7E2CFAAB" w14:textId="77777777" w:rsidR="006C1932" w:rsidRPr="006C1932" w:rsidRDefault="006C1932" w:rsidP="006C1932">
      <w:pPr>
        <w:pStyle w:val="Prrafodelista"/>
        <w:numPr>
          <w:ilvl w:val="0"/>
          <w:numId w:val="1"/>
        </w:numPr>
      </w:pPr>
      <w:r w:rsidRPr="006C1932">
        <w:rPr>
          <w:b/>
          <w:bCs/>
        </w:rPr>
        <w:t>Financiación:</w:t>
      </w:r>
      <w:r w:rsidRPr="006C1932">
        <w:t> GAD3 Colombia S.A.S. certifica que el presente estudio ha sido financiado en su totalidad por RCN Televisión S.A. mediante contrato de prestación de servicios comerciales, no existiendo ningún otro tipo de aporte o contraprestación de terceras partes.</w:t>
      </w:r>
    </w:p>
    <w:p w14:paraId="1E995D59" w14:textId="77777777" w:rsidR="006C1932" w:rsidRPr="006C1932" w:rsidRDefault="006C1932" w:rsidP="006C1932">
      <w:pPr>
        <w:pStyle w:val="Prrafodelista"/>
        <w:numPr>
          <w:ilvl w:val="0"/>
          <w:numId w:val="1"/>
        </w:numPr>
      </w:pPr>
      <w:r w:rsidRPr="006C1932">
        <w:rPr>
          <w:b/>
          <w:bCs/>
        </w:rPr>
        <w:t>No Aportes:</w:t>
      </w:r>
      <w:r w:rsidRPr="006C1932">
        <w:t> En cumplimiento de la normativa electoral, se declara expresamente que GAD3 Colombia S.A.S. no ha realizado aportes, donaciones ni contribuciones a campañas electorales, partidos, movimientos políticos o grupos significativos de ciudadanos durante el presente proceso electoral.</w:t>
      </w:r>
    </w:p>
    <w:p w14:paraId="03AAF93A" w14:textId="32337D62" w:rsidR="00E25697" w:rsidRPr="00E25697" w:rsidRDefault="00E25697" w:rsidP="00E25697">
      <w:pPr>
        <w:numPr>
          <w:ilvl w:val="0"/>
          <w:numId w:val="1"/>
        </w:numPr>
      </w:pPr>
      <w:r w:rsidRPr="00E25697">
        <w:rPr>
          <w:b/>
          <w:bCs/>
        </w:rPr>
        <w:t>Objetivo del estudio:</w:t>
      </w:r>
      <w:r w:rsidRPr="00E25697">
        <w:t> </w:t>
      </w:r>
      <w:r w:rsidR="00F70E7B" w:rsidRPr="00F70E7B">
        <w:t>Proporcionar información estratégica sobre el clima de opinión pública y la dinámica de la competencia electoral en Colombia, evaluando el posicionamiento de los liderazgos políticos de cara a los comicios de 2026.</w:t>
      </w:r>
    </w:p>
    <w:p w14:paraId="5127CA69" w14:textId="77777777" w:rsidR="00E25697" w:rsidRPr="00E25697" w:rsidRDefault="00E25697" w:rsidP="00E25697">
      <w:pPr>
        <w:numPr>
          <w:ilvl w:val="0"/>
          <w:numId w:val="1"/>
        </w:numPr>
      </w:pPr>
      <w:r w:rsidRPr="00E25697">
        <w:rPr>
          <w:b/>
          <w:bCs/>
        </w:rPr>
        <w:t>Universo:</w:t>
      </w:r>
      <w:r w:rsidRPr="00E25697">
        <w:t> Población residente en Colombia, de 18 años o más, con derecho a voto y acceso a telefonía móvil.</w:t>
      </w:r>
    </w:p>
    <w:p w14:paraId="7E8CFBA7" w14:textId="27A2F368" w:rsidR="00E25697" w:rsidRPr="00E25697" w:rsidRDefault="00E25697" w:rsidP="00E25697">
      <w:pPr>
        <w:numPr>
          <w:ilvl w:val="0"/>
          <w:numId w:val="1"/>
        </w:numPr>
      </w:pPr>
      <w:r w:rsidRPr="00E25697">
        <w:rPr>
          <w:b/>
          <w:bCs/>
        </w:rPr>
        <w:t>Ámbito Geográfico:</w:t>
      </w:r>
      <w:r w:rsidRPr="00E25697">
        <w:t> </w:t>
      </w:r>
      <w:r w:rsidR="00040188" w:rsidRPr="00040188">
        <w:t xml:space="preserve">Nacional. Cobertura en los 32 departamentos y el Distrito Capital. En cumplimiento del Art. 4 de la Ley 2494 de 2025, el diseño garantiza la representatividad territorial y la inclusión de los municipios de mayor tamaño poblacional (&gt;800.000 </w:t>
      </w:r>
      <w:proofErr w:type="spellStart"/>
      <w:r w:rsidR="00040188" w:rsidRPr="00040188">
        <w:t>hab</w:t>
      </w:r>
      <w:proofErr w:type="spellEnd"/>
      <w:r w:rsidR="00040188" w:rsidRPr="00040188">
        <w:t>).</w:t>
      </w:r>
    </w:p>
    <w:p w14:paraId="019F29E3" w14:textId="6C62E167" w:rsidR="00E25697" w:rsidRPr="00E25697" w:rsidRDefault="00E25697" w:rsidP="00E25697">
      <w:pPr>
        <w:numPr>
          <w:ilvl w:val="0"/>
          <w:numId w:val="1"/>
        </w:numPr>
      </w:pPr>
      <w:r w:rsidRPr="00E25697">
        <w:rPr>
          <w:b/>
          <w:bCs/>
        </w:rPr>
        <w:t xml:space="preserve">Fechas de realización (Campo): </w:t>
      </w:r>
      <w:r w:rsidRPr="00CC1EA6">
        <w:t>Del 16 al 18 de marzo de 2026.</w:t>
      </w:r>
    </w:p>
    <w:p w14:paraId="52169273" w14:textId="705A89C2" w:rsidR="00E25697" w:rsidRPr="00CC1EA6" w:rsidRDefault="00E25697" w:rsidP="00E25697">
      <w:pPr>
        <w:numPr>
          <w:ilvl w:val="0"/>
          <w:numId w:val="1"/>
        </w:numPr>
      </w:pPr>
      <w:r w:rsidRPr="00E25697">
        <w:rPr>
          <w:b/>
          <w:bCs/>
        </w:rPr>
        <w:t>Método de recolección de datos: </w:t>
      </w:r>
      <w:r w:rsidRPr="00CC1EA6">
        <w:t xml:space="preserve">Encuesta telefónica asistida por ordenador (CATI). Selección aleatoria de unidades mediante algoritmo de doble aleatorización (Anademo) y marco muestral congelado (snapshot previo al inicio de campo) de </w:t>
      </w:r>
      <w:r w:rsidR="00CC1EA6">
        <w:t>163.543 registros.</w:t>
      </w:r>
    </w:p>
    <w:p w14:paraId="46FD2D54" w14:textId="04EE81BF" w:rsidR="00E25697" w:rsidRPr="00E25697" w:rsidRDefault="00E25697" w:rsidP="00E25697">
      <w:pPr>
        <w:numPr>
          <w:ilvl w:val="0"/>
          <w:numId w:val="1"/>
        </w:numPr>
      </w:pPr>
      <w:r w:rsidRPr="00E25697">
        <w:rPr>
          <w:b/>
          <w:bCs/>
        </w:rPr>
        <w:t>Tamaño de la muestra: 1.200 entrevistas nominales.</w:t>
      </w:r>
    </w:p>
    <w:p w14:paraId="79C0D5DD" w14:textId="54EE67C4" w:rsidR="00E25697" w:rsidRPr="00CC1EA6" w:rsidRDefault="00E25697" w:rsidP="00E25697">
      <w:pPr>
        <w:numPr>
          <w:ilvl w:val="0"/>
          <w:numId w:val="1"/>
        </w:numPr>
      </w:pPr>
      <w:r w:rsidRPr="00E25697">
        <w:rPr>
          <w:b/>
          <w:bCs/>
        </w:rPr>
        <w:t xml:space="preserve">Número efectivo de respuestas (n-efectivo Kish, diagnóstico): </w:t>
      </w:r>
      <w:r w:rsidRPr="00CC1EA6">
        <w:t>1.076 entrevistas. El n-efectivo se calcula mediante la fórmula de Kish como diagnóstico de eficiencia tras la ponderación.</w:t>
      </w:r>
    </w:p>
    <w:p w14:paraId="75D98421" w14:textId="3A00FC83" w:rsidR="00E25697" w:rsidRPr="00CC1EA6" w:rsidRDefault="00E25697" w:rsidP="00E25697">
      <w:pPr>
        <w:numPr>
          <w:ilvl w:val="0"/>
          <w:numId w:val="1"/>
        </w:numPr>
      </w:pPr>
      <w:r w:rsidRPr="00E25697">
        <w:rPr>
          <w:b/>
          <w:bCs/>
        </w:rPr>
        <w:t xml:space="preserve">Margen de error global (sobre n‑efectivo Kish): </w:t>
      </w:r>
      <w:r w:rsidRPr="00CC1EA6">
        <w:t>±3,0% para un nivel de confianza del 95% (p=q=0,5) bajo el número efectivo de respuestas obtenido.</w:t>
      </w:r>
    </w:p>
    <w:p w14:paraId="34AEE824" w14:textId="6AB8920B" w:rsidR="00E25697" w:rsidRPr="00CC1EA6" w:rsidRDefault="00E25697" w:rsidP="00E25697">
      <w:pPr>
        <w:numPr>
          <w:ilvl w:val="0"/>
          <w:numId w:val="1"/>
        </w:numPr>
      </w:pPr>
      <w:r w:rsidRPr="00E25697">
        <w:rPr>
          <w:b/>
          <w:bCs/>
        </w:rPr>
        <w:lastRenderedPageBreak/>
        <w:t xml:space="preserve">Margen de error calculado por indicador (Real): </w:t>
      </w:r>
      <w:r w:rsidRPr="00CC1EA6">
        <w:t xml:space="preserve">En cumplimiento del Artículo 4 de la Ley 2494, se informa que la precisión varía según el peso estadístico y el valor del indicador analizado. Los errores estándar y márgenes de error (95%) se reportan por indicador en el anexo “Medidas de calidad por indicador” (incluye n válido por indicador, SE, MoE y DEFF). En los indicadores publicados, el </w:t>
      </w:r>
      <w:proofErr w:type="gramStart"/>
      <w:r w:rsidRPr="00CC1EA6">
        <w:t>MoE(</w:t>
      </w:r>
      <w:proofErr w:type="gramEnd"/>
      <w:r w:rsidRPr="00CC1EA6">
        <w:t>95%) máximo observado es 2,998% (≤3,0%).</w:t>
      </w:r>
    </w:p>
    <w:p w14:paraId="350C7430" w14:textId="27F24CD2" w:rsidR="00E25697" w:rsidRPr="00CC1EA6" w:rsidRDefault="00E25697" w:rsidP="00E25697">
      <w:pPr>
        <w:numPr>
          <w:ilvl w:val="0"/>
          <w:numId w:val="1"/>
        </w:numPr>
      </w:pPr>
      <w:r w:rsidRPr="00E25697">
        <w:rPr>
          <w:b/>
          <w:bCs/>
        </w:rPr>
        <w:t xml:space="preserve">Ponderación de la muestra: </w:t>
      </w:r>
      <w:r w:rsidRPr="00CC1EA6">
        <w:t>Calibración post‑estratificada (Raking) en dos etapas, a nivel nacional. Etapa 1 (sociodemográfica): sexo×edad (3 grupos: 18–34, 35–54, 55+) y estrato agrupado (1–2 / 3 / 4–6) conforme a proyecciones DANE/GEIH. Etapa 2 (electoral, suave): ajuste del balance Petro/Rodolfo en recuerdo de voto (2ª vuelta 2022) según Registraduría. Control de varianza mediante limitación de pesos extremos (trimming) en el rango [0,75; 1,64].</w:t>
      </w:r>
    </w:p>
    <w:p w14:paraId="39D21760" w14:textId="77777777" w:rsidR="00E25697" w:rsidRPr="00CC1EA6" w:rsidRDefault="00E25697" w:rsidP="00E25697">
      <w:pPr>
        <w:numPr>
          <w:ilvl w:val="0"/>
          <w:numId w:val="1"/>
        </w:numPr>
      </w:pPr>
      <w:r w:rsidRPr="00E25697">
        <w:rPr>
          <w:b/>
          <w:bCs/>
        </w:rPr>
        <w:t xml:space="preserve">Equipo técnico responsable (metodología, muestreo y análisis): </w:t>
      </w:r>
      <w:r w:rsidRPr="00CC1EA6">
        <w:t>Dr. Narciso Michavila Núñez (responsable metodológico/estadístico), Javier Sánchez García (responsable de proyecto) y Mario Martín Fernández (analista de datos).</w:t>
      </w:r>
    </w:p>
    <w:p w14:paraId="73E3A5A0" w14:textId="77777777" w:rsidR="006C1932" w:rsidRPr="006C1932" w:rsidRDefault="006C1932" w:rsidP="006C1932">
      <w:pPr>
        <w:pStyle w:val="Prrafodelista"/>
        <w:numPr>
          <w:ilvl w:val="0"/>
          <w:numId w:val="1"/>
        </w:numPr>
      </w:pPr>
      <w:r w:rsidRPr="006C1932">
        <w:rPr>
          <w:b/>
          <w:bCs/>
        </w:rPr>
        <w:t>Independencia:</w:t>
      </w:r>
      <w:r w:rsidRPr="006C1932">
        <w:t> El equipo técnico responsable garantiza la total autonomía en el diseño, ejecución y análisis de los resultados, sin interferencia de los entes financiadores en la integridad de los datos obtenidos.</w:t>
      </w:r>
    </w:p>
    <w:p w14:paraId="16591E14" w14:textId="77777777" w:rsidR="006C1932" w:rsidRPr="00E25697" w:rsidRDefault="006C1932" w:rsidP="006C1932">
      <w:pPr>
        <w:ind w:left="720"/>
      </w:pPr>
    </w:p>
    <w:p w14:paraId="7B2290BD" w14:textId="77777777" w:rsidR="009F37C2" w:rsidRDefault="009F37C2"/>
    <w:sectPr w:rsidR="009F37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94A28"/>
    <w:multiLevelType w:val="multilevel"/>
    <w:tmpl w:val="6AD262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6042B"/>
    <w:multiLevelType w:val="multilevel"/>
    <w:tmpl w:val="3F0073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D9334C"/>
    <w:multiLevelType w:val="multilevel"/>
    <w:tmpl w:val="68867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57394">
    <w:abstractNumId w:val="1"/>
  </w:num>
  <w:num w:numId="2" w16cid:durableId="508912273">
    <w:abstractNumId w:val="2"/>
  </w:num>
  <w:num w:numId="3" w16cid:durableId="1123307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697"/>
    <w:rsid w:val="00040188"/>
    <w:rsid w:val="006C1932"/>
    <w:rsid w:val="00725123"/>
    <w:rsid w:val="007955F4"/>
    <w:rsid w:val="007B5184"/>
    <w:rsid w:val="00812A55"/>
    <w:rsid w:val="00827101"/>
    <w:rsid w:val="009A4EFC"/>
    <w:rsid w:val="009F37C2"/>
    <w:rsid w:val="00BD2BF5"/>
    <w:rsid w:val="00CC1EA6"/>
    <w:rsid w:val="00DE3362"/>
    <w:rsid w:val="00E112D8"/>
    <w:rsid w:val="00E25697"/>
    <w:rsid w:val="00EB474A"/>
    <w:rsid w:val="00F0551C"/>
    <w:rsid w:val="00F70E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B6F11"/>
  <w15:chartTrackingRefBased/>
  <w15:docId w15:val="{00983BD9-4AF3-427D-8F02-D0A11233F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56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256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256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56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56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56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56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56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56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569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2569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2569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256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256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256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56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56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5697"/>
    <w:rPr>
      <w:rFonts w:eastAsiaTheme="majorEastAsia" w:cstheme="majorBidi"/>
      <w:color w:val="272727" w:themeColor="text1" w:themeTint="D8"/>
    </w:rPr>
  </w:style>
  <w:style w:type="paragraph" w:styleId="Ttulo">
    <w:name w:val="Title"/>
    <w:basedOn w:val="Normal"/>
    <w:next w:val="Normal"/>
    <w:link w:val="TtuloCar"/>
    <w:uiPriority w:val="10"/>
    <w:qFormat/>
    <w:rsid w:val="00E25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56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56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56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5697"/>
    <w:pPr>
      <w:spacing w:before="160"/>
      <w:jc w:val="center"/>
    </w:pPr>
    <w:rPr>
      <w:i/>
      <w:iCs/>
      <w:color w:val="404040" w:themeColor="text1" w:themeTint="BF"/>
    </w:rPr>
  </w:style>
  <w:style w:type="character" w:customStyle="1" w:styleId="CitaCar">
    <w:name w:val="Cita Car"/>
    <w:basedOn w:val="Fuentedeprrafopredeter"/>
    <w:link w:val="Cita"/>
    <w:uiPriority w:val="29"/>
    <w:rsid w:val="00E25697"/>
    <w:rPr>
      <w:i/>
      <w:iCs/>
      <w:color w:val="404040" w:themeColor="text1" w:themeTint="BF"/>
    </w:rPr>
  </w:style>
  <w:style w:type="paragraph" w:styleId="Prrafodelista">
    <w:name w:val="List Paragraph"/>
    <w:basedOn w:val="Normal"/>
    <w:uiPriority w:val="34"/>
    <w:qFormat/>
    <w:rsid w:val="00E25697"/>
    <w:pPr>
      <w:ind w:left="720"/>
      <w:contextualSpacing/>
    </w:pPr>
  </w:style>
  <w:style w:type="character" w:styleId="nfasisintenso">
    <w:name w:val="Intense Emphasis"/>
    <w:basedOn w:val="Fuentedeprrafopredeter"/>
    <w:uiPriority w:val="21"/>
    <w:qFormat/>
    <w:rsid w:val="00E25697"/>
    <w:rPr>
      <w:i/>
      <w:iCs/>
      <w:color w:val="0F4761" w:themeColor="accent1" w:themeShade="BF"/>
    </w:rPr>
  </w:style>
  <w:style w:type="paragraph" w:styleId="Citadestacada">
    <w:name w:val="Intense Quote"/>
    <w:basedOn w:val="Normal"/>
    <w:next w:val="Normal"/>
    <w:link w:val="CitadestacadaCar"/>
    <w:uiPriority w:val="30"/>
    <w:qFormat/>
    <w:rsid w:val="00E256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5697"/>
    <w:rPr>
      <w:i/>
      <w:iCs/>
      <w:color w:val="0F4761" w:themeColor="accent1" w:themeShade="BF"/>
    </w:rPr>
  </w:style>
  <w:style w:type="character" w:styleId="Referenciaintensa">
    <w:name w:val="Intense Reference"/>
    <w:basedOn w:val="Fuentedeprrafopredeter"/>
    <w:uiPriority w:val="32"/>
    <w:qFormat/>
    <w:rsid w:val="00E256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9C774FF55BE014594B24399B301FD89" ma:contentTypeVersion="16" ma:contentTypeDescription="Crear nuevo documento." ma:contentTypeScope="" ma:versionID="54050dd407de8629667b8166678bb1c0">
  <xsd:schema xmlns:xsd="http://www.w3.org/2001/XMLSchema" xmlns:xs="http://www.w3.org/2001/XMLSchema" xmlns:p="http://schemas.microsoft.com/office/2006/metadata/properties" xmlns:ns2="197f84c7-57cf-4f9f-b9e3-8b5746ba2124" xmlns:ns3="b36b71db-f8c4-4e3f-baab-3e7f7a32f8b3" targetNamespace="http://schemas.microsoft.com/office/2006/metadata/properties" ma:root="true" ma:fieldsID="454053831e941d779cf12ee5f4b1a494" ns2:_="" ns3:_="">
    <xsd:import namespace="197f84c7-57cf-4f9f-b9e3-8b5746ba2124"/>
    <xsd:import namespace="b36b71db-f8c4-4e3f-baab-3e7f7a32f8b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SearchProperties" minOccurs="0"/>
                <xsd:element ref="ns2:MediaLengthInSeconds" minOccurs="0"/>
                <xsd:element ref="ns2:MediaServiceBillingMetadata"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7f84c7-57cf-4f9f-b9e3-8b5746ba21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1c71c4c3-7414-4f40-ab04-039844b0b9b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6b71db-f8c4-4e3f-baab-3e7f7a32f8b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dfe7d9ce-f534-4ec2-a3ae-54a9389aa2cf}" ma:internalName="TaxCatchAll" ma:showField="CatchAllData" ma:web="b36b71db-f8c4-4e3f-baab-3e7f7a32f8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97f84c7-57cf-4f9f-b9e3-8b5746ba2124">
      <Terms xmlns="http://schemas.microsoft.com/office/infopath/2007/PartnerControls"/>
    </lcf76f155ced4ddcb4097134ff3c332f>
    <TaxCatchAll xmlns="b36b71db-f8c4-4e3f-baab-3e7f7a32f8b3" xsi:nil="true"/>
  </documentManagement>
</p:properties>
</file>

<file path=customXml/itemProps1.xml><?xml version="1.0" encoding="utf-8"?>
<ds:datastoreItem xmlns:ds="http://schemas.openxmlformats.org/officeDocument/2006/customXml" ds:itemID="{49B1B541-FD1F-48FC-BF56-8241D8ED72FD}">
  <ds:schemaRefs>
    <ds:schemaRef ds:uri="http://schemas.microsoft.com/sharepoint/v3/contenttype/forms"/>
  </ds:schemaRefs>
</ds:datastoreItem>
</file>

<file path=customXml/itemProps2.xml><?xml version="1.0" encoding="utf-8"?>
<ds:datastoreItem xmlns:ds="http://schemas.openxmlformats.org/officeDocument/2006/customXml" ds:itemID="{41520149-9D44-47C7-BA11-ADFCC457DC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7f84c7-57cf-4f9f-b9e3-8b5746ba2124"/>
    <ds:schemaRef ds:uri="b36b71db-f8c4-4e3f-baab-3e7f7a32f8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7E7318-E1AB-4F58-969F-3A241BDDEE72}">
  <ds:schemaRefs>
    <ds:schemaRef ds:uri="http://schemas.microsoft.com/office/2006/metadata/properties"/>
    <ds:schemaRef ds:uri="http://schemas.microsoft.com/office/infopath/2007/PartnerControls"/>
    <ds:schemaRef ds:uri="197f84c7-57cf-4f9f-b9e3-8b5746ba2124"/>
    <ds:schemaRef ds:uri="b36b71db-f8c4-4e3f-baab-3e7f7a32f8b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519</Words>
  <Characters>2855</Characters>
  <Application>Microsoft Office Word</Application>
  <DocSecurity>0</DocSecurity>
  <Lines>23</Lines>
  <Paragraphs>6</Paragraphs>
  <ScaleCrop>false</ScaleCrop>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Sánchez</dc:creator>
  <cp:keywords/>
  <dc:description/>
  <cp:lastModifiedBy>Javier Sánchez</cp:lastModifiedBy>
  <cp:revision>2</cp:revision>
  <dcterms:created xsi:type="dcterms:W3CDTF">2026-03-19T12:35:00Z</dcterms:created>
  <dcterms:modified xsi:type="dcterms:W3CDTF">2026-03-19T12:35:00Z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0x01010039C774FF55BE014594B24399B301FD89</vt:lpwstr>
  </property>
  <property fmtid="{D5CDD505-2E9C-101B-9397-08002B2CF9AE}" pid="3" name="MediaServiceImageTags">
    <vt:lpwstr/>
  </property>
</Properties>
</file>